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CA3382">
      <w:pPr>
        <w:spacing w:before="100" w:beforeAutospacing="1" w:after="100" w:afterAutospacing="1" w:line="240" w:lineRule="auto"/>
        <w:jc w:val="right"/>
        <w:rPr>
          <w:rFonts w:ascii="GHEA Grapalat" w:hAnsi="GHEA Grapalat" w:eastAsia="Times New Roman" w:cs="Times New Roman"/>
          <w:sz w:val="20"/>
          <w:szCs w:val="20"/>
          <w:lang w:val="ru-RU"/>
        </w:rPr>
      </w:pPr>
      <w:bookmarkStart w:id="0" w:name="_GoBack"/>
      <w:bookmarkEnd w:id="0"/>
      <w:r>
        <w:rPr>
          <w:rFonts w:ascii="GHEA Grapalat" w:hAnsi="GHEA Grapalat" w:eastAsia="Times New Roman" w:cs="Times New Roman"/>
          <w:b/>
          <w:bCs/>
          <w:sz w:val="20"/>
          <w:szCs w:val="20"/>
          <w:lang w:val="ru-RU"/>
        </w:rPr>
        <w:t>Приложение 1.1</w:t>
      </w:r>
    </w:p>
    <w:p w14:paraId="6E88A957">
      <w:pPr>
        <w:spacing w:before="100" w:beforeAutospacing="1" w:after="100" w:afterAutospacing="1" w:line="240" w:lineRule="auto"/>
        <w:jc w:val="center"/>
        <w:rPr>
          <w:rFonts w:ascii="GHEA Grapalat" w:hAnsi="GHEA Grapalat" w:eastAsia="Times New Roman" w:cs="Times New Roman"/>
          <w:sz w:val="20"/>
          <w:szCs w:val="20"/>
          <w:lang w:val="ru-RU"/>
        </w:rPr>
      </w:pPr>
      <w:r>
        <w:rPr>
          <w:rFonts w:ascii="GHEA Grapalat" w:hAnsi="GHEA Grapalat" w:eastAsia="Times New Roman" w:cs="Times New Roman"/>
          <w:b/>
          <w:bCs/>
          <w:sz w:val="20"/>
          <w:szCs w:val="20"/>
          <w:lang w:val="ru-RU"/>
        </w:rPr>
        <w:t>Техническое задание</w:t>
      </w:r>
    </w:p>
    <w:p w14:paraId="7AD8CBC5">
      <w:pPr>
        <w:spacing w:line="240" w:lineRule="auto"/>
        <w:jc w:val="center"/>
        <w:rPr>
          <w:rFonts w:ascii="GHEA Grapalat" w:hAnsi="GHEA Grapalat"/>
          <w:i/>
          <w:color w:val="376092" w:themeColor="accent1" w:themeShade="BF"/>
          <w:sz w:val="20"/>
          <w:szCs w:val="20"/>
          <w:lang w:val="ru-RU"/>
        </w:rPr>
      </w:pPr>
      <w:r>
        <w:rPr>
          <w:rFonts w:ascii="GHEA Grapalat" w:hAnsi="GHEA Grapalat"/>
          <w:sz w:val="20"/>
          <w:szCs w:val="20"/>
          <w:lang w:val="ru-RU"/>
        </w:rPr>
        <w:t>Работы по разработке проектно-сметной документации для строительства нового здания средней школы на 240 ученических мест в населённом пункте Коти общины Ноемберян Тавушской области Республики Армения.</w:t>
      </w:r>
    </w:p>
    <w:tbl>
      <w:tblPr>
        <w:tblStyle w:val="1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2790"/>
        <w:gridCol w:w="7308"/>
      </w:tblGrid>
      <w:tr w14:paraId="187A9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" w:type="dxa"/>
          </w:tcPr>
          <w:p w14:paraId="7B6CC557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2790" w:type="dxa"/>
          </w:tcPr>
          <w:p w14:paraId="5A4871C6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Краткое описание объекта (его фактическое состояние), местоположение.</w:t>
            </w:r>
          </w:p>
        </w:tc>
        <w:tc>
          <w:tcPr>
            <w:tcW w:w="7308" w:type="dxa"/>
          </w:tcPr>
          <w:p w14:paraId="799968DA">
            <w:p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>Новый корпус средней школы на 240 ученических мест в селе Коти общины Ноемберян Тавушской области Республики Армения будет построен на территории существующей школы, при этом существующее здание будет снесено.</w:t>
            </w:r>
          </w:p>
          <w:p w14:paraId="57C1CC77">
            <w:p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>Адрес: Тавушская область, село Коти, средняя школа</w:t>
            </w: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br w:type="textWrapping"/>
            </w: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>Кадастровый номер: 11040</w:t>
            </w: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br w:type="textWrapping"/>
            </w: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>Площадь земельного участка: 2,6 га</w:t>
            </w: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br w:type="textWrapping"/>
            </w: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>Свидетельство № 972106</w:t>
            </w:r>
          </w:p>
          <w:p w14:paraId="7C2752F4">
            <w:p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>Мощность школы / количество учеников: ___ / 207 — проектная мощность новой средней школы составляет 240 ученических мест.</w:t>
            </w:r>
          </w:p>
          <w:p w14:paraId="73B7A25B">
            <w:p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>Количество этажей: 2 надземных этажа; блоки расположены на платформах с разными отметками.</w:t>
            </w:r>
          </w:p>
          <w:p w14:paraId="444678A4">
            <w:p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>Согласно заключению об оценке технического состояния и степени сейсмической уязвимости школы, выданному в 2026 году, техническое состояние здания признано неудовлетворительным (третья категория).</w:t>
            </w:r>
          </w:p>
          <w:p w14:paraId="02E4A3DE">
            <w:p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>Планируется снести существующее здание (вместе со всеми его корпусами) и на его месте построить новое здание школы на 240 ученических мест.</w:t>
            </w:r>
          </w:p>
          <w:p w14:paraId="67B9D15D">
            <w:p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>В селе имеется действующий детский сад.</w:t>
            </w:r>
          </w:p>
          <w:p w14:paraId="06651F71">
            <w:p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color w:val="376092" w:themeColor="accent1" w:themeShade="BF"/>
                <w:sz w:val="20"/>
                <w:szCs w:val="20"/>
                <w:lang w:val="ru-RU"/>
              </w:rPr>
            </w:pPr>
          </w:p>
        </w:tc>
      </w:tr>
      <w:tr w14:paraId="55687F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" w:type="dxa"/>
          </w:tcPr>
          <w:p w14:paraId="10EF9138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2790" w:type="dxa"/>
          </w:tcPr>
          <w:p w14:paraId="78C2F031">
            <w:pPr>
              <w:spacing w:after="0" w:line="240" w:lineRule="auto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Обоснование проекта и нормативные требования</w:t>
            </w:r>
          </w:p>
        </w:tc>
        <w:tc>
          <w:tcPr>
            <w:tcW w:w="7308" w:type="dxa"/>
          </w:tcPr>
          <w:p w14:paraId="7B90CA41">
            <w:p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>Проект реализуется в рамках программы Правительства Республики Армения по строительству, реконструкции и капитальному ремонту 300 школ (образовательных комплексов) и 500 детских садов.</w:t>
            </w:r>
          </w:p>
          <w:p w14:paraId="4AD9FAAD">
            <w:pPr>
              <w:spacing w:before="100" w:beforeAutospacing="1" w:after="100" w:afterAutospacing="1" w:line="240" w:lineRule="auto"/>
              <w:outlineLvl w:val="2"/>
              <w:rPr>
                <w:rFonts w:ascii="GHEA Grapalat" w:hAnsi="GHEA Grapalat" w:eastAsia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b/>
                <w:bCs/>
                <w:sz w:val="20"/>
                <w:szCs w:val="20"/>
                <w:lang w:val="ru-RU"/>
              </w:rPr>
              <w:t>Документы, являющиеся основанием для проектирования (предоставляются Заказчиком)</w:t>
            </w:r>
          </w:p>
          <w:p w14:paraId="61E7E002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</w:rPr>
              <w:t xml:space="preserve">Свидетельство на земельный участок; </w:t>
            </w:r>
          </w:p>
          <w:p w14:paraId="090194FA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</w:rPr>
              <w:t xml:space="preserve">Архитектурно-планировочное задание (АПЗ); </w:t>
            </w:r>
          </w:p>
          <w:p w14:paraId="3426CEFF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</w:rPr>
              <w:t xml:space="preserve">Технические условия (ТУ). </w:t>
            </w:r>
          </w:p>
          <w:p w14:paraId="7DFA0EE5">
            <w:pPr>
              <w:spacing w:before="100" w:beforeAutospacing="1" w:after="100" w:afterAutospacing="1" w:line="240" w:lineRule="auto"/>
              <w:outlineLvl w:val="2"/>
              <w:rPr>
                <w:rFonts w:ascii="GHEA Grapalat" w:hAnsi="GHEA Grapalat" w:eastAsia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b/>
                <w:bCs/>
                <w:sz w:val="20"/>
                <w:szCs w:val="20"/>
                <w:lang w:val="ru-RU"/>
              </w:rPr>
              <w:t>Исходные данные, являющиеся основанием для проектирования (получаются Консультантом)</w:t>
            </w:r>
          </w:p>
          <w:p w14:paraId="1F33C046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Топографическая съёмка масштаба не менее М 1:500, уточнение границ и координат земельного участка (уточнить границы и координаты выделенного земельного участка, в случае несоответствий представить информацию </w:t>
            </w:r>
            <w:r>
              <w:rPr>
                <w:rFonts w:ascii="GHEA Grapalat" w:hAnsi="GHEA Grapalat" w:eastAsia="Times New Roman" w:cs="Times New Roman"/>
                <w:sz w:val="20"/>
                <w:szCs w:val="20"/>
              </w:rPr>
              <w:t xml:space="preserve">Заказчику); </w:t>
            </w:r>
          </w:p>
          <w:p w14:paraId="65AB17AD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Отчёт об инженерно-геологических и гидрогеологических изысканиях; </w:t>
            </w:r>
          </w:p>
          <w:p w14:paraId="6637F7F9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>Заключение о техническом состоянии подлежащего сносу здания</w:t>
            </w:r>
            <w:r>
              <w:rPr>
                <w:rFonts w:ascii="GHEA Grapalat" w:hAnsi="GHEA Grapalat" w:eastAsia="Times New Roman" w:cs="Times New Roman"/>
                <w:sz w:val="20"/>
                <w:szCs w:val="20"/>
                <w:lang w:val="hy-AM"/>
              </w:rPr>
              <w:t xml:space="preserve"> /</w:t>
            </w: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есть, предоставит Заказчик/; </w:t>
            </w:r>
          </w:p>
          <w:p w14:paraId="06F8A0D9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Справки, выданные ресурсоснабжающими организациями, о проходящих по территории или вблизи территории надземных и подземных инженерных сетях; </w:t>
            </w:r>
          </w:p>
          <w:p w14:paraId="7A8EDEB1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Иные данные — по мере необходимости. </w:t>
            </w:r>
          </w:p>
          <w:p w14:paraId="403E9C1D">
            <w:pPr>
              <w:spacing w:before="100" w:beforeAutospacing="1" w:after="100" w:afterAutospacing="1" w:line="240" w:lineRule="auto"/>
              <w:outlineLvl w:val="2"/>
              <w:rPr>
                <w:rFonts w:ascii="GHEA Grapalat" w:hAnsi="GHEA Grapalat" w:eastAsia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b/>
                <w:bCs/>
                <w:sz w:val="20"/>
                <w:szCs w:val="20"/>
                <w:lang w:val="ru-RU"/>
              </w:rPr>
              <w:t>Нормативные документы, являющиеся основанием для проектирования</w:t>
            </w:r>
          </w:p>
          <w:p w14:paraId="47C1017E">
            <w:p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>Документация разрабатывается в соответствии с требованиями законодательства Республики Армения и нормативно-технических документов, в частности с обеспечением требований следующих документов:</w:t>
            </w:r>
          </w:p>
          <w:p w14:paraId="7B40218C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Постановление Правительства РА № 596-Н от 19.03.2015 г. «Об утверждении порядка выдачи разрешений и иных документов для целей застройки в Республике Армения и о признании утратившими силу ряда постановлений Правительства РА»; </w:t>
            </w:r>
          </w:p>
          <w:p w14:paraId="3D1FF4C7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Требования подпункта 10 пункта 33 Порядка, утверждённого Постановлением Правительства РА № 526-Н от 04.05.2017 г. «Об утверждении порядка организации процесса закупок и признании утратившим силу Постановления Правительства РА № 168-Н от 10.02.2011 г.»; </w:t>
            </w:r>
          </w:p>
          <w:p w14:paraId="1B41ADBF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Постановление Правительства РА № 1504-Н от 25.12.2014 г. «О применении мероприятий, направленных на повышение энергосбережения и энергоэффективности на объектах, строящихся (реконструируемых, ремонтируемых) за счёт государственных средств»; </w:t>
            </w:r>
          </w:p>
          <w:p w14:paraId="7D41BCE1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СН РА 30-01-2023 «Градостроительство. Планировка и застройка городских и сельских населённых пунктов»; </w:t>
            </w:r>
          </w:p>
          <w:p w14:paraId="02286EDC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СН РА </w:t>
            </w:r>
            <w:r>
              <w:rPr>
                <w:rFonts w:ascii="GHEA Grapalat" w:hAnsi="GHEA Grapalat" w:eastAsia="Times New Roman" w:cs="Times New Roman"/>
                <w:sz w:val="20"/>
                <w:szCs w:val="20"/>
              </w:rPr>
              <w:t>II</w:t>
            </w: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-7.01-2011 «Строительная климатология»; </w:t>
            </w:r>
          </w:p>
          <w:p w14:paraId="4E400D69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</w:rPr>
              <w:t xml:space="preserve">СН РА 30-02-2022 «Благоустройство территорий»; </w:t>
            </w:r>
          </w:p>
          <w:p w14:paraId="33CDA906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СН РА 20-04-2020 «Сейсмостойкое строительство. Нормы проектирования»; </w:t>
            </w:r>
          </w:p>
          <w:p w14:paraId="6F1F8BCA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СН РА 52-01-2021 «Бетонные и железобетонные конструкции»; </w:t>
            </w:r>
          </w:p>
          <w:p w14:paraId="54F05DB7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</w:rPr>
              <w:t xml:space="preserve">СН РА 53-01-2020 «Стальные конструкции»; </w:t>
            </w:r>
          </w:p>
          <w:p w14:paraId="5C6FB4C1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СН РА 31-03-2020 «Общественные здания и сооружения»; </w:t>
            </w:r>
          </w:p>
          <w:p w14:paraId="6ED09025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СН РА 31-03.01-2014 «Здания общеобразовательного назначения»; </w:t>
            </w:r>
          </w:p>
          <w:p w14:paraId="060C3246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СН РА 21-01-2014 «Пожарная безопасность зданий и сооружений» (в последней редакции); </w:t>
            </w:r>
          </w:p>
          <w:p w14:paraId="037C0CC8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СН РА </w:t>
            </w:r>
            <w:r>
              <w:rPr>
                <w:rFonts w:ascii="GHEA Grapalat" w:hAnsi="GHEA Grapalat" w:eastAsia="Times New Roman" w:cs="Times New Roman"/>
                <w:sz w:val="20"/>
                <w:szCs w:val="20"/>
              </w:rPr>
              <w:t>IV</w:t>
            </w: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-11.07.01-2006 «Доступность зданий и сооружений для маломобильных групп населения»; </w:t>
            </w:r>
          </w:p>
          <w:p w14:paraId="7371FCAC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СН РА 22-03-2017 «Искусственное и естественное освещение»; </w:t>
            </w:r>
          </w:p>
          <w:p w14:paraId="1D41AC9C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СН РА 40-01.02-2020 «Водоснабжение. Наружные сети и сооружения»; </w:t>
            </w:r>
          </w:p>
          <w:p w14:paraId="28EF3B57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СН РА 40-01.03- «Канализация. Наружные сети и сооружения»; </w:t>
            </w:r>
          </w:p>
          <w:p w14:paraId="6E698998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СН РА 40-01.01-2014 «Внутреннее водоснабжение и водоотведение зданий»; </w:t>
            </w:r>
          </w:p>
          <w:p w14:paraId="7CA49C73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СН РА </w:t>
            </w:r>
            <w:r>
              <w:rPr>
                <w:rFonts w:ascii="GHEA Grapalat" w:hAnsi="GHEA Grapalat" w:eastAsia="Times New Roman" w:cs="Times New Roman"/>
                <w:sz w:val="20"/>
                <w:szCs w:val="20"/>
              </w:rPr>
              <w:t>IV</w:t>
            </w: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-12.02.01-2004 «Отопление, вентиляция и кондиционирование воздуха»; </w:t>
            </w:r>
          </w:p>
          <w:p w14:paraId="4132DA19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Санитарные правила и нормы № 2.2.4-016-17 «Требования, предъявляемые к образовательным учреждениям, реализующим общеобразовательные программы»; </w:t>
            </w:r>
          </w:p>
          <w:p w14:paraId="00AD8E6C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>Иные обязательные нормативно-технические документы, регламенты и правила.</w:t>
            </w:r>
          </w:p>
          <w:p w14:paraId="502ED0C3">
            <w:pPr>
              <w:tabs>
                <w:tab w:val="left" w:pos="-108"/>
              </w:tabs>
              <w:spacing w:after="0" w:line="240" w:lineRule="auto"/>
              <w:ind w:left="432"/>
              <w:rPr>
                <w:rFonts w:ascii="GHEA Grapalat" w:hAnsi="GHEA Grapalat"/>
                <w:color w:val="0000FF"/>
                <w:sz w:val="20"/>
                <w:szCs w:val="20"/>
                <w:lang w:val="ru-RU"/>
              </w:rPr>
            </w:pPr>
          </w:p>
        </w:tc>
      </w:tr>
      <w:tr w14:paraId="1D999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" w:type="dxa"/>
          </w:tcPr>
          <w:p w14:paraId="2EC71048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</w:p>
        </w:tc>
        <w:tc>
          <w:tcPr>
            <w:tcW w:w="2790" w:type="dxa"/>
          </w:tcPr>
          <w:p w14:paraId="6D0D4CC3">
            <w:pPr>
              <w:spacing w:after="0" w:line="240" w:lineRule="auto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Стадии проекта</w:t>
            </w:r>
          </w:p>
        </w:tc>
        <w:tc>
          <w:tcPr>
            <w:tcW w:w="7308" w:type="dxa"/>
          </w:tcPr>
          <w:p w14:paraId="55A16342">
            <w:pPr>
              <w:spacing w:before="100" w:beforeAutospacing="1" w:after="100" w:afterAutospacing="1" w:line="240" w:lineRule="auto"/>
              <w:outlineLvl w:val="2"/>
              <w:rPr>
                <w:rFonts w:ascii="GHEA Grapalat" w:hAnsi="GHEA Grapalat" w:eastAsia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b/>
                <w:bCs/>
                <w:sz w:val="20"/>
                <w:szCs w:val="20"/>
                <w:lang w:val="ru-RU"/>
              </w:rPr>
              <w:t xml:space="preserve">Этап </w:t>
            </w:r>
            <w:r>
              <w:rPr>
                <w:rFonts w:ascii="GHEA Grapalat" w:hAnsi="GHEA Grapalat" w:eastAsia="Times New Roman" w:cs="Times New Roman"/>
                <w:b/>
                <w:bCs/>
                <w:sz w:val="20"/>
                <w:szCs w:val="20"/>
              </w:rPr>
              <w:t>I</w:t>
            </w:r>
            <w:r>
              <w:rPr>
                <w:rFonts w:ascii="GHEA Grapalat" w:hAnsi="GHEA Grapalat" w:eastAsia="Times New Roman" w:cs="Times New Roman"/>
                <w:b/>
                <w:bCs/>
                <w:sz w:val="20"/>
                <w:szCs w:val="20"/>
                <w:lang w:val="ru-RU"/>
              </w:rPr>
              <w:t>. Сбор исходных данных и разработка эскизного проекта</w:t>
            </w:r>
          </w:p>
          <w:p w14:paraId="0CD0FB3B">
            <w:pPr>
              <w:numPr>
                <w:ilvl w:val="0"/>
                <w:numId w:val="4"/>
              </w:numPr>
              <w:spacing w:before="100" w:beforeAutospacing="1" w:after="100" w:afterAutospacing="1" w:line="276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Выполнение топографической съемки территории в масштабе не менее М 1:500. </w:t>
            </w:r>
          </w:p>
          <w:p w14:paraId="254C82C5">
            <w:pPr>
              <w:numPr>
                <w:ilvl w:val="0"/>
                <w:numId w:val="4"/>
              </w:numPr>
              <w:spacing w:before="100" w:beforeAutospacing="1" w:after="100" w:afterAutospacing="1" w:line="276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>Получение заключения о техническом состоянии существующего здания и его сейсмической уязвимости</w:t>
            </w:r>
            <w:r>
              <w:rPr>
                <w:rFonts w:ascii="GHEA Grapalat" w:hAnsi="GHEA Grapalat" w:eastAsia="Times New Roman" w:cs="Times New Roman"/>
                <w:sz w:val="20"/>
                <w:szCs w:val="20"/>
                <w:lang w:val="hy-AM"/>
              </w:rPr>
              <w:t xml:space="preserve"> /</w:t>
            </w: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есть, предоставит Заказчик/. </w:t>
            </w:r>
          </w:p>
          <w:p w14:paraId="45238399">
            <w:pPr>
              <w:numPr>
                <w:ilvl w:val="0"/>
                <w:numId w:val="4"/>
              </w:numPr>
              <w:spacing w:before="100" w:beforeAutospacing="1" w:after="100" w:afterAutospacing="1" w:line="276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Разработка «эскизного проекта» строительства 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нового здания </w:t>
            </w: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средней школы на 240 ученических мест в населённом пункте Коти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 общины Ноемберян Тавушской области Республики Армения </w:t>
            </w: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и его координация с Заказчиком. </w:t>
            </w:r>
          </w:p>
          <w:p w14:paraId="26A0BCC8">
            <w:pPr>
              <w:numPr>
                <w:ilvl w:val="0"/>
                <w:numId w:val="4"/>
              </w:numPr>
              <w:spacing w:before="100" w:beforeAutospacing="1" w:after="100" w:afterAutospacing="1" w:line="276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На основании согласованного эскизного проекта проведение инженерно-геологических изысканий и подготовка соответствующего отчета. </w:t>
            </w:r>
          </w:p>
          <w:p w14:paraId="34995B71">
            <w:pPr>
              <w:numPr>
                <w:ilvl w:val="0"/>
                <w:numId w:val="4"/>
              </w:numPr>
              <w:spacing w:before="100" w:beforeAutospacing="1" w:after="100" w:afterAutospacing="1" w:line="276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В случае если проект подлежит экологической экспертизе /ОВОС/  -  организация первых общественных слушаний с целью представления проекта на экологическую экспертизу (ОВОС). </w:t>
            </w:r>
          </w:p>
          <w:p w14:paraId="34F12DE4">
            <w:p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b/>
                <w:bCs/>
                <w:sz w:val="20"/>
                <w:szCs w:val="20"/>
                <w:lang w:val="ru-RU"/>
              </w:rPr>
              <w:t xml:space="preserve">Срок выполнения </w:t>
            </w:r>
            <w:r>
              <w:rPr>
                <w:rFonts w:ascii="GHEA Grapalat" w:hAnsi="GHEA Grapalat" w:eastAsia="Times New Roman" w:cs="Times New Roman"/>
                <w:b/>
                <w:bCs/>
                <w:sz w:val="20"/>
                <w:szCs w:val="20"/>
              </w:rPr>
              <w:t>I</w:t>
            </w:r>
            <w:r>
              <w:rPr>
                <w:rFonts w:ascii="GHEA Grapalat" w:hAnsi="GHEA Grapalat" w:eastAsia="Times New Roman" w:cs="Times New Roman"/>
                <w:b/>
                <w:bCs/>
                <w:sz w:val="20"/>
                <w:szCs w:val="20"/>
                <w:lang w:val="ru-RU"/>
              </w:rPr>
              <w:t xml:space="preserve"> этапа:</w:t>
            </w: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 45 календарных дней со дня, следующего за днем вступления Договора в силу.</w:t>
            </w:r>
          </w:p>
          <w:p w14:paraId="1C914F4D">
            <w:p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>*) Работа считается выполненной в установленный срок, если в указанный срок Консультант получил утверждение эскизного проекта от Заказчика (ФТРА/</w:t>
            </w:r>
            <w:r>
              <w:rPr>
                <w:rFonts w:ascii="GHEA Grapalat" w:hAnsi="GHEA Grapalat" w:eastAsia="Times New Roman" w:cs="Times New Roman"/>
                <w:sz w:val="20"/>
                <w:szCs w:val="20"/>
              </w:rPr>
              <w:t>ՀՏԶՀ</w:t>
            </w: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>).</w:t>
            </w:r>
          </w:p>
          <w:p w14:paraId="34263538">
            <w:p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**) Представленный на согласование эскизный проект рассматривается ФТРА  и утверждается либо возвращается с замечаниями в течение 3 рабочих дней. Доработанный по замечаниям проект рассматривается дополнительно в течение 3 рабочих дней. Указанный срок включается в предусмотренные для </w:t>
            </w:r>
            <w:r>
              <w:rPr>
                <w:rFonts w:ascii="GHEA Grapalat" w:hAnsi="GHEA Grapalat" w:eastAsia="Times New Roman" w:cs="Times New Roman"/>
                <w:sz w:val="20"/>
                <w:szCs w:val="20"/>
              </w:rPr>
              <w:t>I</w:t>
            </w: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 этапа 45 календарных дней.</w:t>
            </w:r>
          </w:p>
          <w:p w14:paraId="51A67F1F">
            <w:pPr>
              <w:spacing w:after="0" w:line="240" w:lineRule="auto"/>
              <w:rPr>
                <w:rFonts w:ascii="GHEA Grapalat" w:hAnsi="GHEA Grapalat" w:eastAsia="Times New Roman" w:cs="Times New Roman"/>
                <w:sz w:val="20"/>
                <w:szCs w:val="20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</w:rPr>
              <w:pict>
                <v:rect id="_x0000_i1025" o:spt="1" style="height:1.5pt;width:0pt;" fillcolor="#A0A0A0" filled="t" stroked="f" coordsize="21600,21600" o:hr="t" o:hrstd="t" o:hralign="center">
                  <v:path/>
                  <v:fill on="t" focussize="0,0"/>
                  <v:stroke on="f"/>
                  <v:imagedata o:title=""/>
                  <o:lock v:ext="edit"/>
                  <w10:wrap type="none"/>
                  <w10:anchorlock/>
                </v:rect>
              </w:pict>
            </w:r>
          </w:p>
          <w:p w14:paraId="1C014DB9">
            <w:pPr>
              <w:spacing w:before="100" w:beforeAutospacing="1" w:after="100" w:afterAutospacing="1" w:line="240" w:lineRule="auto"/>
              <w:outlineLvl w:val="2"/>
              <w:rPr>
                <w:rFonts w:ascii="GHEA Grapalat" w:hAnsi="GHEA Grapalat" w:eastAsia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b/>
                <w:bCs/>
                <w:sz w:val="20"/>
                <w:szCs w:val="20"/>
                <w:lang w:val="ru-RU"/>
              </w:rPr>
              <w:t xml:space="preserve">Этап </w:t>
            </w:r>
            <w:r>
              <w:rPr>
                <w:rFonts w:ascii="GHEA Grapalat" w:hAnsi="GHEA Grapalat" w:eastAsia="Times New Roman" w:cs="Times New Roman"/>
                <w:b/>
                <w:bCs/>
                <w:sz w:val="20"/>
                <w:szCs w:val="20"/>
              </w:rPr>
              <w:t>II</w:t>
            </w:r>
            <w:r>
              <w:rPr>
                <w:rFonts w:ascii="GHEA Grapalat" w:hAnsi="GHEA Grapalat" w:eastAsia="Times New Roman" w:cs="Times New Roman"/>
                <w:b/>
                <w:bCs/>
                <w:sz w:val="20"/>
                <w:szCs w:val="20"/>
                <w:lang w:val="ru-RU"/>
              </w:rPr>
              <w:t>. Разработка полного комплекта проектно-сметной документации</w:t>
            </w:r>
          </w:p>
          <w:p w14:paraId="3B650AD8">
            <w:p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На основании согласованного с Заказчиком эскизного проекта разработка </w:t>
            </w:r>
            <w:r>
              <w:rPr>
                <w:rFonts w:ascii="GHEA Grapalat" w:hAnsi="GHEA Grapalat" w:eastAsia="Times New Roman" w:cs="Times New Roman"/>
                <w:b/>
                <w:bCs/>
                <w:sz w:val="20"/>
                <w:szCs w:val="20"/>
                <w:lang w:val="ru-RU"/>
              </w:rPr>
              <w:t>рабочего проекта</w:t>
            </w: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 строительства 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нового здания </w:t>
            </w: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средней школы на 240 ученических мест в населённом пункте Коти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 общины Ноемберян Тавушской области Республики Армения</w:t>
            </w: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>, а также получение заключений по пожарной и технической безопасности.</w:t>
            </w:r>
          </w:p>
          <w:p w14:paraId="14DF9907">
            <w:p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b/>
                <w:bCs/>
                <w:sz w:val="20"/>
                <w:szCs w:val="20"/>
                <w:lang w:val="ru-RU"/>
              </w:rPr>
              <w:t xml:space="preserve">Срок выполнения </w:t>
            </w:r>
            <w:r>
              <w:rPr>
                <w:rFonts w:ascii="GHEA Grapalat" w:hAnsi="GHEA Grapalat" w:eastAsia="Times New Roman" w:cs="Times New Roman"/>
                <w:b/>
                <w:bCs/>
                <w:sz w:val="20"/>
                <w:szCs w:val="20"/>
              </w:rPr>
              <w:t>II</w:t>
            </w:r>
            <w:r>
              <w:rPr>
                <w:rFonts w:ascii="GHEA Grapalat" w:hAnsi="GHEA Grapalat" w:eastAsia="Times New Roman" w:cs="Times New Roman"/>
                <w:b/>
                <w:bCs/>
                <w:sz w:val="20"/>
                <w:szCs w:val="20"/>
                <w:lang w:val="ru-RU"/>
              </w:rPr>
              <w:t xml:space="preserve"> этапа:</w:t>
            </w: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 150 календарных дней со дня, следующего за днем вступления Договора в силу (без учета </w:t>
            </w:r>
            <w:r>
              <w:rPr>
                <w:rFonts w:ascii="GHEA Grapalat" w:hAnsi="GHEA Grapalat" w:eastAsia="Times New Roman" w:cs="Times New Roman"/>
                <w:sz w:val="20"/>
                <w:szCs w:val="20"/>
              </w:rPr>
              <w:t>I</w:t>
            </w: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 этапа — 105 календарных дней).</w:t>
            </w:r>
          </w:p>
          <w:p w14:paraId="24269F0C">
            <w:p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>*) Работа считается выполненной в установленный срок, если Консультант получил:</w:t>
            </w:r>
          </w:p>
          <w:p w14:paraId="32E8CC0C">
            <w:pPr>
              <w:numPr>
                <w:ilvl w:val="0"/>
                <w:numId w:val="5"/>
              </w:numPr>
              <w:spacing w:before="100" w:beforeAutospacing="1" w:after="100" w:afterAutospacing="1" w:line="276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>утверждение Заказчиком (ФТРА/</w:t>
            </w:r>
            <w:r>
              <w:rPr>
                <w:rFonts w:ascii="GHEA Grapalat" w:hAnsi="GHEA Grapalat" w:eastAsia="Times New Roman" w:cs="Times New Roman"/>
                <w:sz w:val="20"/>
                <w:szCs w:val="20"/>
              </w:rPr>
              <w:t>ՀՏԶՀ</w:t>
            </w: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) рабочего проекта (полного комплекта проектно-сметной документации); </w:t>
            </w:r>
          </w:p>
          <w:p w14:paraId="6968B43C">
            <w:pPr>
              <w:numPr>
                <w:ilvl w:val="0"/>
                <w:numId w:val="5"/>
              </w:numPr>
              <w:spacing w:before="100" w:beforeAutospacing="1" w:after="100" w:afterAutospacing="1" w:line="276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заключения по пожарной и технической безопасности; </w:t>
            </w:r>
          </w:p>
          <w:p w14:paraId="2568F76C">
            <w:pPr>
              <w:numPr>
                <w:ilvl w:val="0"/>
                <w:numId w:val="5"/>
              </w:numPr>
              <w:spacing w:before="100" w:beforeAutospacing="1" w:after="100" w:afterAutospacing="1" w:line="276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предварительные согласования эксплуатирующих (ресурсоснабжающих) организаций по инженерным разделам проекта (в случае необходимости переноса или переустройства существующих инженерных сетей). </w:t>
            </w:r>
          </w:p>
          <w:p w14:paraId="7D6D48F3">
            <w:p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>**) Представленный на согласование рабочий проект рассматривается ФТРА/</w:t>
            </w:r>
            <w:r>
              <w:rPr>
                <w:rFonts w:ascii="GHEA Grapalat" w:hAnsi="GHEA Grapalat" w:eastAsia="Times New Roman" w:cs="Times New Roman"/>
                <w:sz w:val="20"/>
                <w:szCs w:val="20"/>
              </w:rPr>
              <w:t>ՀՏԶՀ</w:t>
            </w: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 и утверждается либо возвращается с замечаниями в течение 5 рабочих дней. Доработанный по замечаниям проект рассматривается дополнительно в течение 5 рабочих дней. Указанный срок включается в предусмотренный для </w:t>
            </w:r>
            <w:r>
              <w:rPr>
                <w:rFonts w:ascii="GHEA Grapalat" w:hAnsi="GHEA Grapalat" w:eastAsia="Times New Roman" w:cs="Times New Roman"/>
                <w:sz w:val="20"/>
                <w:szCs w:val="20"/>
              </w:rPr>
              <w:t>II</w:t>
            </w: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 этапа 105-дневный срок.</w:t>
            </w:r>
          </w:p>
          <w:p w14:paraId="156A0CD1">
            <w:pPr>
              <w:spacing w:after="0" w:line="240" w:lineRule="auto"/>
              <w:rPr>
                <w:rFonts w:ascii="GHEA Grapalat" w:hAnsi="GHEA Grapalat" w:eastAsia="Times New Roman" w:cs="Times New Roman"/>
                <w:sz w:val="20"/>
                <w:szCs w:val="20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</w:rPr>
              <w:pict>
                <v:rect id="_x0000_i1026" o:spt="1" style="height:1.5pt;width:0pt;" fillcolor="#A0A0A0" filled="t" stroked="f" coordsize="21600,21600" o:hr="t" o:hrstd="t" o:hralign="center">
                  <v:path/>
                  <v:fill on="t" focussize="0,0"/>
                  <v:stroke on="f"/>
                  <v:imagedata o:title=""/>
                  <o:lock v:ext="edit"/>
                  <w10:wrap type="none"/>
                  <w10:anchorlock/>
                </v:rect>
              </w:pict>
            </w:r>
          </w:p>
          <w:p w14:paraId="0D11941C">
            <w:pPr>
              <w:spacing w:before="100" w:beforeAutospacing="1" w:after="100" w:afterAutospacing="1" w:line="240" w:lineRule="auto"/>
              <w:outlineLvl w:val="2"/>
              <w:rPr>
                <w:rFonts w:ascii="GHEA Grapalat" w:hAnsi="GHEA Grapalat" w:eastAsia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b/>
                <w:bCs/>
                <w:sz w:val="20"/>
                <w:szCs w:val="20"/>
                <w:lang w:val="ru-RU"/>
              </w:rPr>
              <w:t xml:space="preserve">Этап </w:t>
            </w:r>
            <w:r>
              <w:rPr>
                <w:rFonts w:ascii="GHEA Grapalat" w:hAnsi="GHEA Grapalat" w:eastAsia="Times New Roman" w:cs="Times New Roman"/>
                <w:b/>
                <w:bCs/>
                <w:sz w:val="20"/>
                <w:szCs w:val="20"/>
              </w:rPr>
              <w:t>III</w:t>
            </w:r>
            <w:r>
              <w:rPr>
                <w:rFonts w:ascii="GHEA Grapalat" w:hAnsi="GHEA Grapalat" w:eastAsia="Times New Roman" w:cs="Times New Roman"/>
                <w:b/>
                <w:bCs/>
                <w:sz w:val="20"/>
                <w:szCs w:val="20"/>
                <w:lang w:val="ru-RU"/>
              </w:rPr>
              <w:t>. Получение согласований и экспертных заключений</w:t>
            </w:r>
          </w:p>
          <w:p w14:paraId="11778C99">
            <w:p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</w:rPr>
              <w:t>Заказчик представляет проект на:</w:t>
            </w:r>
          </w:p>
          <w:p w14:paraId="6D6EA071">
            <w:pPr>
              <w:numPr>
                <w:ilvl w:val="0"/>
                <w:numId w:val="6"/>
              </w:numPr>
              <w:spacing w:before="100" w:beforeAutospacing="1" w:after="100" w:afterAutospacing="1" w:line="276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согласование в Министерство образования, науки, культуры и спорта Республики Армения; </w:t>
            </w:r>
          </w:p>
          <w:p w14:paraId="7D0A5672">
            <w:pPr>
              <w:numPr>
                <w:ilvl w:val="0"/>
                <w:numId w:val="6"/>
              </w:numPr>
              <w:spacing w:before="100" w:beforeAutospacing="1" w:after="100" w:afterAutospacing="1" w:line="276" w:lineRule="auto"/>
              <w:rPr>
                <w:rFonts w:ascii="GHEA Grapalat" w:hAnsi="GHEA Grapalat" w:eastAsia="Times New Roman" w:cs="Times New Roman"/>
                <w:sz w:val="20"/>
                <w:szCs w:val="20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</w:rPr>
              <w:t xml:space="preserve">прохождение упрощенной градостроительной экспертизы. </w:t>
            </w:r>
          </w:p>
          <w:p w14:paraId="6740577B">
            <w:p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</w:rPr>
              <w:t>Консультант:</w:t>
            </w:r>
          </w:p>
          <w:p w14:paraId="724EC223">
            <w:pPr>
              <w:numPr>
                <w:ilvl w:val="0"/>
                <w:numId w:val="7"/>
              </w:numPr>
              <w:spacing w:before="100" w:beforeAutospacing="1" w:after="100" w:afterAutospacing="1" w:line="276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получает и передает Заказчику заключение экологической экспертизы (ОВОС) — в случае если проект подлежит экологической экспертизе; </w:t>
            </w:r>
          </w:p>
          <w:p w14:paraId="0AC311F7">
            <w:pPr>
              <w:numPr>
                <w:ilvl w:val="0"/>
                <w:numId w:val="7"/>
              </w:numPr>
              <w:spacing w:before="100" w:beforeAutospacing="1" w:after="100" w:afterAutospacing="1" w:line="276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дорабатывает проект на основании замечаний, полученных в ходе согласований и экспертиз. </w:t>
            </w:r>
          </w:p>
          <w:p w14:paraId="0CD69568">
            <w:p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>*) Замечания, полученные в ходе согласований и экспертиз, передаются Консультанту для устранения выявленных недостатков проекта в сроки, установленные Заказчиком.</w:t>
            </w:r>
          </w:p>
          <w:p w14:paraId="6134AB59">
            <w:p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b/>
                <w:bCs/>
                <w:sz w:val="20"/>
                <w:szCs w:val="20"/>
                <w:lang w:val="ru-RU"/>
              </w:rPr>
              <w:t xml:space="preserve">Срок выполнения </w:t>
            </w:r>
            <w:r>
              <w:rPr>
                <w:rFonts w:ascii="GHEA Grapalat" w:hAnsi="GHEA Grapalat" w:eastAsia="Times New Roman" w:cs="Times New Roman"/>
                <w:b/>
                <w:bCs/>
                <w:sz w:val="20"/>
                <w:szCs w:val="20"/>
              </w:rPr>
              <w:t>III</w:t>
            </w:r>
            <w:r>
              <w:rPr>
                <w:rFonts w:ascii="GHEA Grapalat" w:hAnsi="GHEA Grapalat" w:eastAsia="Times New Roman" w:cs="Times New Roman"/>
                <w:b/>
                <w:bCs/>
                <w:sz w:val="20"/>
                <w:szCs w:val="20"/>
                <w:lang w:val="ru-RU"/>
              </w:rPr>
              <w:t xml:space="preserve"> этапа:</w:t>
            </w: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eastAsia="Times New Roman" w:cs="Times New Roman"/>
                <w:b/>
                <w:sz w:val="20"/>
                <w:szCs w:val="20"/>
                <w:lang w:val="ru-RU"/>
              </w:rPr>
              <w:t>180 календарных дней со дня</w:t>
            </w: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, следующего за днем подписания Договора (без учета </w:t>
            </w:r>
            <w:r>
              <w:rPr>
                <w:rFonts w:ascii="GHEA Grapalat" w:hAnsi="GHEA Grapalat" w:eastAsia="Times New Roman" w:cs="Times New Roman"/>
                <w:sz w:val="20"/>
                <w:szCs w:val="20"/>
              </w:rPr>
              <w:t>I</w:t>
            </w: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 и </w:t>
            </w:r>
            <w:r>
              <w:rPr>
                <w:rFonts w:ascii="GHEA Grapalat" w:hAnsi="GHEA Grapalat" w:eastAsia="Times New Roman" w:cs="Times New Roman"/>
                <w:sz w:val="20"/>
                <w:szCs w:val="20"/>
              </w:rPr>
              <w:t>II</w:t>
            </w: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 этапов — 30 календарных дней).</w:t>
            </w:r>
          </w:p>
          <w:p w14:paraId="235D039E">
            <w:p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hy-AM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>После получения положительного заключения упрощенной градостроительной экспертизы Заказчик / ФТРА/</w:t>
            </w:r>
            <w:r>
              <w:rPr>
                <w:rFonts w:ascii="GHEA Grapalat" w:hAnsi="GHEA Grapalat" w:eastAsia="Times New Roman" w:cs="Times New Roman"/>
                <w:sz w:val="20"/>
                <w:szCs w:val="20"/>
              </w:rPr>
              <w:t>ՀՏԶՀ</w:t>
            </w: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/ представляет комплект проектной документации на </w:t>
            </w:r>
            <w:r>
              <w:rPr>
                <w:rFonts w:ascii="GHEA Grapalat" w:hAnsi="GHEA Grapalat" w:eastAsia="Times New Roman" w:cs="Times New Roman"/>
                <w:b/>
                <w:bCs/>
                <w:sz w:val="20"/>
                <w:szCs w:val="20"/>
                <w:lang w:val="ru-RU"/>
              </w:rPr>
              <w:t>государственную комплексную экспертизу</w:t>
            </w: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>.</w:t>
            </w:r>
          </w:p>
          <w:p w14:paraId="6FB735A6">
            <w:p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14:paraId="74A5BA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" w:type="dxa"/>
          </w:tcPr>
          <w:p w14:paraId="3B5D2E5D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</w:p>
        </w:tc>
        <w:tc>
          <w:tcPr>
            <w:tcW w:w="2790" w:type="dxa"/>
          </w:tcPr>
          <w:p w14:paraId="58BF6BBB">
            <w:pPr>
              <w:spacing w:after="0" w:line="240" w:lineRule="auto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Описание ситуации и краткое описание работ, которые необходимо выполнить (планиру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емые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).</w:t>
            </w:r>
          </w:p>
        </w:tc>
        <w:tc>
          <w:tcPr>
            <w:tcW w:w="7308" w:type="dxa"/>
          </w:tcPr>
          <w:p w14:paraId="07AAB827">
            <w:p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>В настоящее время в средней школе села Коти обучается 207 учеников, функционирует 12 классов. Расчётная мощность школы значительно выше, однако корпуса, построенные в 60-х и 80-х годах, находятся в плохом состоянии /износ 42–46 %/.</w:t>
            </w:r>
          </w:p>
          <w:p w14:paraId="1D85FF12">
            <w:p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>Планируется снести существующие 6 корпусов и на их месте, по индивидуальному проекту, построить новое здание школы на 240 ученических мест.</w:t>
            </w:r>
          </w:p>
          <w:p w14:paraId="0A01BD2D">
            <w:p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>Новое здание должно быть спроектировано с подвальным этажом, приспособленным под укрытие. С учётом того, что земельный участок большой, а новое здание будет занимать меньшую площадь, необходимо благоустроить освобождаемые территории, предусмотреть открытый спортивный стадион. Учебный корпус может иметь до 3 надземных этажей. Расположение нового здания и спортивной зоны необходимо выбрать таким образом, чтобы как можно меньше повредить существующие деревья и зелёные насаждения.</w:t>
            </w:r>
          </w:p>
          <w:p w14:paraId="00F15CC7">
            <w:p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>Цель задания — на территории действующей школы, вместо существующих корпусов, построить новое здание школы на 240 ученических мест со всеми функциональными помещениями, требуемыми нормативами, а также с открытым спортивным стадионом.</w:t>
            </w:r>
          </w:p>
          <w:p w14:paraId="1C8034FD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Классы проектировать из расчёта 20 учеников. </w:t>
            </w:r>
          </w:p>
          <w:p w14:paraId="183ADD9F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Разделить зоны начальной школы и основной/старшей школы, предусмотреть отдельный вход и общую игровую комнату площадью около 70 м². </w:t>
            </w:r>
          </w:p>
          <w:p w14:paraId="54D2CA81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Площадь столовой рассчитывать из нормы 1 м² на одно посадочное место при одновременной посадке 70 человек (2 смены — 140 мест). </w:t>
            </w:r>
          </w:p>
          <w:p w14:paraId="093722F4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Для старшей школы предусмотреть дополнительно 3–4 учебных кабинета по 10 ученических мест. </w:t>
            </w:r>
          </w:p>
          <w:p w14:paraId="640DD8E9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</w:rPr>
              <w:t xml:space="preserve">Актовый зал — на 170 мест. </w:t>
            </w:r>
          </w:p>
          <w:p w14:paraId="59C33FFD">
            <w:pPr>
              <w:numPr>
                <w:ilvl w:val="0"/>
                <w:numId w:val="8"/>
              </w:numPr>
              <w:spacing w:before="100" w:beforeAutospacing="1" w:after="100" w:afterAutospacing="1" w:line="276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>Крытый спортивный зал с полем 24х15 м и трибунами на 40-60 мест.</w:t>
            </w:r>
          </w:p>
          <w:p w14:paraId="324C65F3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Раздевалки рядом со спортивным залом для 10 мальчиков и 10 девочек, душевые для 3 мальчиков и 3 девочек, каждая с отдельным входом, туалеты для одного мальчика и одной девочки, а также туалет и душевая в тренерской (зоны: 31-03,01-2014, Приложение 7, Таблица № 7),   </w:t>
            </w:r>
          </w:p>
          <w:p w14:paraId="67591E38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При проектировании школы в виде отдельных корпусов все здания соединить тёплыми переходами. </w:t>
            </w:r>
          </w:p>
          <w:p w14:paraId="6CB130F3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Обеспечить доступность для людей с ограниченными возможностями, соединить все этажи лифтом (включая подвальный этаж). </w:t>
            </w:r>
          </w:p>
          <w:p w14:paraId="3BA676C9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Эвакуационные лестницы проектировать с непосредственным выходом наружу. </w:t>
            </w:r>
          </w:p>
          <w:p w14:paraId="5703D4F5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В подвальном этаже предусмотреть укрытие, технические и складские помещения, учебный стрелковый тир. </w:t>
            </w:r>
          </w:p>
          <w:p w14:paraId="2D58DAE7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На территории (при достаточной площади) предусмотреть открытый спортивный стадион с разметкой мини-футбольного поля и беговой дорожкой шириной 5 м (размеры 20×40 м). </w:t>
            </w:r>
          </w:p>
          <w:p w14:paraId="741F3753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>Обеспечить здание всеми необходимыми инженерными системами: электроснабжение и освещение, водоснабжение, канализация, отопление, вентиляция, слаботочные системы (связь,</w:t>
            </w:r>
            <w:r>
              <w:rPr>
                <w:rFonts w:ascii="GHEA Grapalat" w:hAnsi="GHEA Grapalat" w:eastAsia="Times New Roman" w:cs="Times New Roma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>интернет,</w:t>
            </w:r>
            <w:r>
              <w:rPr>
                <w:rFonts w:ascii="GHEA Grapalat" w:hAnsi="GHEA Grapalat" w:eastAsia="Times New Roman" w:cs="Times New Roman"/>
                <w:color w:val="FF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видеонаблюдение, звонки, система пожарной сигнализации, пожарные краны /пожарные краны/, при необходимости — также пожарные гидранты и др. согласно нормативам). </w:t>
            </w:r>
          </w:p>
          <w:p w14:paraId="1E705FC0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Предусмотреть солнечную фотоэлектрическую станцию, разместив панели на крыше и/или на территории (при размещении на территории — в ограждённой зоне). </w:t>
            </w:r>
          </w:p>
          <w:p w14:paraId="48C2D002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Отопление проектировать газовое (предусмотреть котельную). </w:t>
            </w:r>
          </w:p>
          <w:p w14:paraId="773188D7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Установить очистные сооружения сточных вод, после которых подключение к сельской канализации (при наличии). </w:t>
            </w:r>
            <w:r>
              <w:rPr>
                <w:rFonts w:ascii="GHEA Grapalat" w:hAnsi="GHEA Grapalat" w:eastAsia="Times New Roman" w:cs="Times New Roman"/>
                <w:sz w:val="20"/>
                <w:szCs w:val="20"/>
              </w:rPr>
              <w:t xml:space="preserve">При отсутствии — очищенную воду сбрасывать в ирригационную систему. </w:t>
            </w:r>
          </w:p>
          <w:p w14:paraId="7B8357F1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Предусмотреть наружное освещение с фотовольтовыми осветителями. </w:t>
            </w:r>
          </w:p>
          <w:p w14:paraId="2F62B417">
            <w:p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>В генеральном плане территории должны быть указаны все сооружения, подъезды пожарной техники, открытый стадион, внешние инженерные сети, зона очистных сооружений, решения по благоустройству и другие необходимые элементы инфраструктуры в соответствии с техническими условиями.</w:t>
            </w:r>
          </w:p>
          <w:p w14:paraId="1CA94B29">
            <w:p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>В проекте благоустройства обязательно представить решения по открытому стадиону, ограждению и освещению. Бортовой камень предусмотреть из базальта, покрытие — асфальт. Разделить коммунальные и озеленённые зоны, озеленённые территории обеспечить системой полива.</w:t>
            </w:r>
          </w:p>
          <w:p w14:paraId="3D4DA1D7">
            <w:p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</w:rPr>
              <w:t>В здании школы:</w:t>
            </w:r>
          </w:p>
          <w:p w14:paraId="0984063E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Наружные двери и окна — алюминиевый профиль не менее 60 мм с терморазрывом. </w:t>
            </w:r>
          </w:p>
          <w:p w14:paraId="4E5BA476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Внутренние двери — МДФ не менее 40 мм, коробка не менее 60 мм; двери классов с остеклённой вставкой (цвет и внешний вид согласовать с заказчиком). </w:t>
            </w:r>
          </w:p>
          <w:p w14:paraId="64AFEC54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Все инженерные коммуникации (трубы, кабели) прокладывать скрыто в стенах, полах и потолках. </w:t>
            </w:r>
          </w:p>
          <w:p w14:paraId="66E2EAD5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Подвесные потолки ПВХ — в санузлах, душевых и кухне; в актовом зале, столовой и коридорах допускаются потолки типа </w:t>
            </w:r>
            <w:r>
              <w:rPr>
                <w:rFonts w:ascii="GHEA Grapalat" w:hAnsi="GHEA Grapalat" w:eastAsia="Times New Roman" w:cs="Times New Roman"/>
                <w:sz w:val="20"/>
                <w:szCs w:val="20"/>
              </w:rPr>
              <w:t>Armstrong</w:t>
            </w: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. </w:t>
            </w:r>
          </w:p>
          <w:p w14:paraId="49011DC9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Над школьными досками — линейные </w:t>
            </w:r>
            <w:r>
              <w:rPr>
                <w:rFonts w:ascii="GHEA Grapalat" w:hAnsi="GHEA Grapalat" w:eastAsia="Times New Roman" w:cs="Times New Roman"/>
                <w:sz w:val="20"/>
                <w:szCs w:val="20"/>
              </w:rPr>
              <w:t>LED</w:t>
            </w: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-светильники. </w:t>
            </w:r>
          </w:p>
          <w:p w14:paraId="0C57E2B1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Актовый зал разместить на 1-м или 2-м этаже. </w:t>
            </w:r>
          </w:p>
          <w:p w14:paraId="3DBFECEE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Здание проектировать с системой естественной вентиляции; другие вентиляционные системы — согласно нормативам. </w:t>
            </w:r>
          </w:p>
          <w:p w14:paraId="19FA0240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Эвакуационные лестницы с непосредственным выходом наружу; из подвального этажа предусмотреть минимум два выхода наружу. </w:t>
            </w:r>
          </w:p>
          <w:p w14:paraId="15463DE8">
            <w:pPr>
              <w:numPr>
                <w:ilvl w:val="0"/>
                <w:numId w:val="8"/>
              </w:numPr>
              <w:spacing w:before="100" w:beforeAutospacing="1" w:after="0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Из актового и спортивного залов предусмотреть прямые выходы наружу. </w:t>
            </w:r>
          </w:p>
          <w:p w14:paraId="4C10F19D">
            <w:pPr>
              <w:numPr>
                <w:ilvl w:val="0"/>
                <w:numId w:val="8"/>
              </w:numPr>
              <w:spacing w:after="0" w:line="276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Конструкции здания — монолитный железобетон; крыша скатная из окрашенного профилированного металлического листа; водоотвод организовать, включая встроенные лотки; цоколь — из базальтовых плит; </w:t>
            </w:r>
          </w:p>
          <w:p w14:paraId="059E4DDF">
            <w:pPr>
              <w:numPr>
                <w:ilvl w:val="0"/>
                <w:numId w:val="8"/>
              </w:numPr>
              <w:spacing w:after="100" w:afterAutospacing="1" w:line="276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>Отмостка — асфальт или облицовка из базальтовых плит типа брекчия, покрытие территории — асфальтобетон, бортовой камень — базальтовый 150×300 мм.</w:t>
            </w:r>
          </w:p>
          <w:p w14:paraId="5B655AAF">
            <w:pPr>
              <w:numPr>
                <w:ilvl w:val="0"/>
                <w:numId w:val="8"/>
              </w:numPr>
              <w:spacing w:before="100" w:beforeAutospacing="1" w:after="100" w:afterAutospacing="1" w:line="276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По заданию предусматривается система пожарной сигнализации. Автоматическая система пожаротушения не предусматривается. </w:t>
            </w:r>
          </w:p>
          <w:p w14:paraId="03C9C387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>Планировку кухонного блока согласовать с Министерством образования, науки, культуры и спорта РА с учётом количества и размеров кухонного оборудования, которое будет закуплено.</w:t>
            </w:r>
          </w:p>
          <w:p w14:paraId="3D738D3E">
            <w:p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>Внутренняя отделка:</w:t>
            </w:r>
          </w:p>
          <w:p w14:paraId="6CA78064">
            <w:p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>Перегородки, стены, потолки:</w:t>
            </w:r>
          </w:p>
          <w:p w14:paraId="2AAF3A0E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В санузлах — глухие перегородки из МДФ, собранные на металлическом каркасе. </w:t>
            </w:r>
          </w:p>
          <w:p w14:paraId="69714078">
            <w:pPr>
              <w:numPr>
                <w:ilvl w:val="0"/>
                <w:numId w:val="8"/>
              </w:numPr>
              <w:spacing w:before="100" w:beforeAutospacing="1" w:after="100" w:afterAutospacing="1" w:line="276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>Оштукатуривание стен, потолков и откосов  гипсовой штукатуркой /гипсонит/.</w:t>
            </w:r>
          </w:p>
          <w:p w14:paraId="5CF2FEB6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В классах, административных помещениях, коридорах и вестибюлях стены и потолки — латексная окраска. </w:t>
            </w:r>
          </w:p>
          <w:p w14:paraId="526FA431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В кухне, технических помещениях и санузлах — облицовка керамической плиткой. </w:t>
            </w:r>
          </w:p>
          <w:p w14:paraId="3CDAE717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В санузлах облицовка стен керамической плиткой выполняется до подвесного потолка. </w:t>
            </w:r>
          </w:p>
          <w:p w14:paraId="439F6FB1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В кухне облицовка керамической плиткой выполняется на высоту не менее 1,8 м. </w:t>
            </w:r>
          </w:p>
          <w:p w14:paraId="2C7FE1E9">
            <w:p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</w:rPr>
              <w:t>Полы:</w:t>
            </w:r>
          </w:p>
          <w:p w14:paraId="13B8972F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В классах, административных помещениях и актовом зале — виниловое покрытие толщиной 2 мм. </w:t>
            </w:r>
          </w:p>
          <w:p w14:paraId="7C8FBC72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В вестибюлях, коридорах, рекреациях, столовой, кухне, технических помещениях и санузлах — керамогранитная напольная плитка. </w:t>
            </w:r>
          </w:p>
          <w:p w14:paraId="67DEC65F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Сцену выполнить с деревянным покрытием, обработанным антисептическим составом и матовым лаком. </w:t>
            </w:r>
          </w:p>
          <w:p w14:paraId="7E114DC5">
            <w:p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</w:rPr>
              <w:t>Плинтусы выполнить высотой 8–10 см:</w:t>
            </w:r>
          </w:p>
          <w:p w14:paraId="5615CCFF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для виниловых полов — из МДФ, </w:t>
            </w:r>
          </w:p>
          <w:p w14:paraId="3DAAA6E6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для керамогранитных полов — из керамогранита. </w:t>
            </w:r>
          </w:p>
          <w:p w14:paraId="61B4F290">
            <w:p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</w:rPr>
              <w:t>Лестницы:</w:t>
            </w:r>
          </w:p>
          <w:p w14:paraId="0A172DA9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</w:rPr>
              <w:t xml:space="preserve">Ступени облицевать керамогранитными плитами. </w:t>
            </w:r>
          </w:p>
          <w:p w14:paraId="0C087FD5">
            <w:p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</w:rPr>
              <w:t>Лифт:</w:t>
            </w:r>
          </w:p>
          <w:p w14:paraId="18F36059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Размеры лифта должны быть рассчитаны для пользователей на инвалидных колясках: внутренние размеры кабины — ширина 1,10 м, глубина 1,40 м. </w:t>
            </w:r>
          </w:p>
          <w:p w14:paraId="4190F181">
            <w:p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>Розетки, выключатели, светильники и другие электрические устройства:</w:t>
            </w:r>
          </w:p>
          <w:p w14:paraId="2C0EB8F5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Электрические выключатели предусмотреть на высоте 1,8 м. </w:t>
            </w:r>
          </w:p>
          <w:p w14:paraId="3CC2122B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</w:rPr>
              <w:t xml:space="preserve">Обязательно предусмотреть розетки также: </w:t>
            </w:r>
          </w:p>
          <w:p w14:paraId="692A4789">
            <w:pPr>
              <w:numPr>
                <w:ilvl w:val="1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на сцене (горизонтальные) — по одной с каждой стороны, </w:t>
            </w:r>
          </w:p>
          <w:p w14:paraId="7299AD79">
            <w:pPr>
              <w:numPr>
                <w:ilvl w:val="1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на задней стене сцены — трёхместные розетки, по одной с каждой стороны, </w:t>
            </w:r>
          </w:p>
          <w:p w14:paraId="080B2403">
            <w:pPr>
              <w:numPr>
                <w:ilvl w:val="1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в классах — по одной двухместной розетке у стола преподавателя. </w:t>
            </w:r>
          </w:p>
          <w:p w14:paraId="6E7537A0">
            <w:p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>Во всех классах, административных помещениях и столовой предусмотреть:</w:t>
            </w:r>
          </w:p>
          <w:p w14:paraId="5D6E8032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</w:rPr>
              <w:t xml:space="preserve">рулонные шторы, </w:t>
            </w:r>
          </w:p>
          <w:p w14:paraId="7A0242F4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по одному окну с усиленным замком и противомоскитной сеткой. </w:t>
            </w:r>
          </w:p>
          <w:p w14:paraId="2981D3F6">
            <w:p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>В кухне на всех открывающихся окнах предусмотреть противомоскитные сетки.</w:t>
            </w:r>
          </w:p>
          <w:p w14:paraId="029C7D8D">
            <w:p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>На путях эвакуации установить указатели направления выхода (стрелки), а на выходах — знаки «Выход».</w:t>
            </w:r>
          </w:p>
          <w:p w14:paraId="4E6FD139">
            <w:p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>В ходе выполнения задания консультант обязуется выполнить следующие обязанности.</w:t>
            </w:r>
          </w:p>
          <w:p w14:paraId="11AB1BD3">
            <w:p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</w:rPr>
              <w:t>Основные направления деятельности консультанта:</w:t>
            </w:r>
          </w:p>
          <w:p w14:paraId="63FC2883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</w:rPr>
              <w:t xml:space="preserve">Изучение территории, в частности: </w:t>
            </w:r>
          </w:p>
          <w:p w14:paraId="49240BA4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подготовка топографической съёмки с указанием надземных и подземных инженерных сетей и сооружений на участке (точная информация должна быть получена от обслуживающих организаций); </w:t>
            </w:r>
          </w:p>
          <w:p w14:paraId="3219CB88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проведение инженерно-геологических и гидрогеологических исследований и получение соответствующего отчёта; </w:t>
            </w:r>
          </w:p>
          <w:p w14:paraId="37752ECE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получение заключения о техническом состоянии существующих зданий/сооружений на участке (если применимо); </w:t>
            </w:r>
          </w:p>
          <w:p w14:paraId="2105F595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разработка проектной документации в соответствии с законодательством РА, нормативно-техническими документами, техническим заданием и архитектурно-планировочным заданием; </w:t>
            </w:r>
          </w:p>
          <w:p w14:paraId="76C5DF9C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согласование проекта со всеми заинтересованными органами и организациями в порядке, установленном законодательством РА, в частности: </w:t>
            </w:r>
          </w:p>
          <w:p w14:paraId="34ED23B2">
            <w:pPr>
              <w:numPr>
                <w:ilvl w:val="1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получение заключений по пожарной и технической безопасности, </w:t>
            </w:r>
          </w:p>
          <w:p w14:paraId="2B8AF4B2">
            <w:pPr>
              <w:numPr>
                <w:ilvl w:val="1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предварительное согласование проектов наружных инженерных сетей и их переноса с соответствующими обслуживающими организациями, </w:t>
            </w:r>
          </w:p>
          <w:p w14:paraId="6E3C8DFE">
            <w:pPr>
              <w:numPr>
                <w:ilvl w:val="1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при необходимости — согласования с другими профильными органами и организациями, </w:t>
            </w:r>
          </w:p>
          <w:p w14:paraId="404F037B">
            <w:pPr>
              <w:numPr>
                <w:ilvl w:val="1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в предусмотренных законом случаях — представление проекта на экологическую оценку воздействия на окружающую среду и экспертизу с получением положительного заключения. </w:t>
            </w:r>
          </w:p>
          <w:p w14:paraId="69336E44">
            <w:p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>*) Пакет проектной документации представляется Заказчиком на градостроительную и государственную комплексную экспертизу. В ходе экспертиз консультант дорабатывает проект на основании замечаний в сроки, указанные Заказчиком.</w:t>
            </w:r>
          </w:p>
          <w:p w14:paraId="6B60B116">
            <w:p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</w:rPr>
              <w:t>Консультант обязан:</w:t>
            </w:r>
          </w:p>
          <w:p w14:paraId="1AAA02FA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в процессе разработки технического задания оказывать поддержку специалистам Заказчика и предоставлять необходимую информацию о нормативных требованиях к проектируемым работам; </w:t>
            </w:r>
          </w:p>
          <w:p w14:paraId="5AFAB433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участвовать и содействовать в проведении общественных слушаний по проекту в соответствии с законодательством РА; </w:t>
            </w:r>
          </w:p>
          <w:p w14:paraId="51516E2B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сотрудничать с организациями, эксплуатирующими инженерные сети, согласовывать с ними проектные предложения по переносу или подземной переукладке существующих сетей, при необходимости — при поддержке Заказчика получать технические условия; </w:t>
            </w:r>
          </w:p>
          <w:p w14:paraId="0F0C1638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проверять на месте соответствие предоставленных технических условий и исходных данных реальному положению и проектным требованиям, при выявлении несоответствий уведомлять Заказчика; </w:t>
            </w:r>
          </w:p>
          <w:p w14:paraId="19E77301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до разработки рабочих чертежей согласовывать все проектные решения с Заказчиком, представляя эскизные варианты решений; </w:t>
            </w:r>
          </w:p>
          <w:p w14:paraId="07206C3A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с учётом замечаний и комментариев Заказчика вносить соответствующие изменения в проект; </w:t>
            </w:r>
          </w:p>
          <w:p w14:paraId="78A930A4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учитывать замечания и предложения по результатам экспертизы (градостроительной, экологической, технической безопасности и др.) и вносить соответствующие корректировки в проект. </w:t>
            </w:r>
          </w:p>
          <w:p w14:paraId="188B4527">
            <w:pPr>
              <w:spacing w:after="0" w:line="240" w:lineRule="auto"/>
              <w:rPr>
                <w:rFonts w:ascii="GHEA Grapalat" w:hAnsi="GHEA Grapalat" w:eastAsia="Times New Roman" w:cs="Times New Roman"/>
                <w:color w:val="C00000"/>
                <w:sz w:val="20"/>
                <w:szCs w:val="20"/>
                <w:lang w:val="ru-RU"/>
              </w:rPr>
            </w:pPr>
          </w:p>
        </w:tc>
      </w:tr>
      <w:tr w14:paraId="19FDE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" w:type="dxa"/>
          </w:tcPr>
          <w:p w14:paraId="41C2CD95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</w:p>
        </w:tc>
        <w:tc>
          <w:tcPr>
            <w:tcW w:w="2790" w:type="dxa"/>
          </w:tcPr>
          <w:p w14:paraId="5630BAE9">
            <w:pPr>
              <w:spacing w:after="0" w:line="240" w:lineRule="auto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Состав проекта</w:t>
            </w:r>
          </w:p>
          <w:p w14:paraId="4575C35E">
            <w:pPr>
              <w:spacing w:after="0" w:line="240" w:lineRule="auto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7308" w:type="dxa"/>
          </w:tcPr>
          <w:p w14:paraId="7737D95C">
            <w:pPr>
              <w:spacing w:after="0" w:line="240" w:lineRule="auto"/>
              <w:jc w:val="both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</w:p>
          <w:p w14:paraId="48D51061">
            <w:pPr>
              <w:spacing w:after="0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>Состав и содержание проектной документации разрабатываются в соответствии с требованиями, утверждёнными приказом № 128-Н от 11.09.2017 г. Председателя Государственного комитета градостроительства при Правительстве Республики Армения.</w:t>
            </w:r>
          </w:p>
          <w:p w14:paraId="32428DDE">
            <w:pPr>
              <w:spacing w:after="0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b/>
                <w:bCs/>
                <w:sz w:val="20"/>
                <w:szCs w:val="20"/>
                <w:lang w:val="ru-RU"/>
              </w:rPr>
              <w:t>Пакет проектной документации в обязательном порядке должен содержать:</w:t>
            </w:r>
          </w:p>
          <w:p w14:paraId="25056BCB">
            <w:pPr>
              <w:pStyle w:val="4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Том 0. «Исходные данные»</w:t>
            </w:r>
          </w:p>
          <w:p w14:paraId="1A548CD6">
            <w:pPr>
              <w:pStyle w:val="5"/>
              <w:spacing w:before="0" w:line="240" w:lineRule="auto"/>
              <w:outlineLvl w:val="3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0.1. Исходные материалы и иные документы, в том числе:</w:t>
            </w:r>
          </w:p>
          <w:p w14:paraId="1D0C7A53">
            <w:pPr>
              <w:numPr>
                <w:ilvl w:val="0"/>
                <w:numId w:val="9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сведения о проектной организации, её штатном составе, лицензиях и разрешениях; </w:t>
            </w:r>
          </w:p>
          <w:p w14:paraId="33A69D79">
            <w:pPr>
              <w:numPr>
                <w:ilvl w:val="0"/>
                <w:numId w:val="9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архитектурно-планировочное задание (предоставляется Заказчиком); </w:t>
            </w:r>
          </w:p>
          <w:p w14:paraId="7AA35EC5">
            <w:pPr>
              <w:numPr>
                <w:ilvl w:val="0"/>
                <w:numId w:val="9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топографическая съёмка территории масштаба 1:500; </w:t>
            </w:r>
          </w:p>
          <w:p w14:paraId="19A9E9C5">
            <w:pPr>
              <w:numPr>
                <w:ilvl w:val="0"/>
                <w:numId w:val="9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материалы инженерно-геологических изысканий и отчёт; </w:t>
            </w:r>
          </w:p>
          <w:p w14:paraId="49C4DE5A">
            <w:pPr>
              <w:numPr>
                <w:ilvl w:val="0"/>
                <w:numId w:val="9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исходные данные и справки, предоставленные ресурсоснабжающими организациями по существующей инженерной инфраструктуре, а где необходимо — технические условия; </w:t>
            </w:r>
          </w:p>
          <w:p w14:paraId="7E23A182">
            <w:pPr>
              <w:numPr>
                <w:ilvl w:val="0"/>
                <w:numId w:val="9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ситуационный план с указанием существующих надземных и подземных коммуникаций и инженерных сетей; </w:t>
            </w:r>
          </w:p>
          <w:p w14:paraId="49EA650D">
            <w:pPr>
              <w:numPr>
                <w:ilvl w:val="0"/>
                <w:numId w:val="9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соответствующие согласования в случае необходимости переноса и/или переустройства инженерных сетей; </w:t>
            </w:r>
          </w:p>
          <w:p w14:paraId="2092A15D">
            <w:pPr>
              <w:numPr>
                <w:ilvl w:val="0"/>
                <w:numId w:val="9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материалы согласования проекта с заинтересованными органами и организациями (письма, согласованные листы, экспертные заключения). </w:t>
            </w:r>
          </w:p>
          <w:p w14:paraId="6A7168BE">
            <w:pPr>
              <w:numPr>
                <w:ilvl w:val="0"/>
                <w:numId w:val="9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>Заключение о техническом состоянии подлежащего сносу здания</w:t>
            </w:r>
          </w:p>
          <w:p w14:paraId="3D1A3368">
            <w:pPr>
              <w:pStyle w:val="11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В состав пакета отдельно включаются оригиналы всех экспертных заключений, а в электронный пакет — их цветные скан-копии.</w:t>
            </w:r>
          </w:p>
          <w:p w14:paraId="5B87194D">
            <w:pPr>
              <w:pStyle w:val="5"/>
              <w:spacing w:before="0" w:line="240" w:lineRule="auto"/>
              <w:outlineLvl w:val="3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Общая пояснительная записка</w:t>
            </w:r>
          </w:p>
          <w:p w14:paraId="4637B10A">
            <w:pPr>
              <w:pStyle w:val="5"/>
              <w:spacing w:before="0" w:line="240" w:lineRule="auto"/>
              <w:outlineLvl w:val="3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Мероприятия по энергосбережению и энергоэффективности</w:t>
            </w:r>
          </w:p>
          <w:p w14:paraId="5C3C693D">
            <w:pPr>
              <w:pStyle w:val="11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*) В пояснительной записке и соответствующих расчётах необходимо обобщить все предусмотренные мероприятия, в том числе:</w:t>
            </w:r>
          </w:p>
          <w:p w14:paraId="50E01349">
            <w:pPr>
              <w:numPr>
                <w:ilvl w:val="0"/>
                <w:numId w:val="10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ориентацию здания по сторонам света; </w:t>
            </w:r>
          </w:p>
          <w:p w14:paraId="7947B61A">
            <w:pPr>
              <w:numPr>
                <w:ilvl w:val="0"/>
                <w:numId w:val="10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теплоизоляцию стен, покрытий и наружных трубопроводов; </w:t>
            </w:r>
          </w:p>
          <w:p w14:paraId="43B97839">
            <w:pPr>
              <w:numPr>
                <w:ilvl w:val="0"/>
                <w:numId w:val="10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применение профилей с терморазрывом; </w:t>
            </w:r>
          </w:p>
          <w:p w14:paraId="0C22BD40">
            <w:pPr>
              <w:numPr>
                <w:ilvl w:val="0"/>
                <w:numId w:val="10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использование солнечной энергии; </w:t>
            </w:r>
          </w:p>
          <w:p w14:paraId="6A0958DC">
            <w:pPr>
              <w:numPr>
                <w:ilvl w:val="0"/>
                <w:numId w:val="10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применение LED-светильников; </w:t>
            </w:r>
          </w:p>
          <w:p w14:paraId="435B490D">
            <w:pPr>
              <w:numPr>
                <w:ilvl w:val="0"/>
                <w:numId w:val="10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и другие решения. </w:t>
            </w:r>
          </w:p>
          <w:p w14:paraId="65BED83C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>
                <v:rect id="_x0000_i1027" o:spt="1" style="height:1.5pt;width:0pt;" fillcolor="#A0A0A0" filled="t" stroked="f" coordsize="21600,21600" o:hr="t" o:hrstd="t" o:hralign="center">
                  <v:path/>
                  <v:fill on="t" focussize="0,0"/>
                  <v:stroke on="f"/>
                  <v:imagedata o:title=""/>
                  <o:lock v:ext="edit"/>
                  <w10:wrap type="none"/>
                  <w10:anchorlock/>
                </v:rect>
              </w:pict>
            </w:r>
          </w:p>
          <w:p w14:paraId="6EA1612E">
            <w:pPr>
              <w:pStyle w:val="2"/>
              <w:spacing w:before="0" w:beforeAutospacing="0" w:after="0" w:afterAutospacing="0"/>
              <w:outlineLvl w:val="0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Том 1. «Генеральный план и благоустройство»</w:t>
            </w:r>
          </w:p>
          <w:p w14:paraId="3EA69C3F">
            <w:pPr>
              <w:pStyle w:val="4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1.1. Генеральный план</w:t>
            </w:r>
          </w:p>
          <w:p w14:paraId="76D4C246">
            <w:pPr>
              <w:numPr>
                <w:ilvl w:val="0"/>
                <w:numId w:val="1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Генеральный план участка; </w:t>
            </w:r>
          </w:p>
          <w:p w14:paraId="453C464F">
            <w:pPr>
              <w:numPr>
                <w:ilvl w:val="0"/>
                <w:numId w:val="1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Проект вертикальной планировки; </w:t>
            </w:r>
          </w:p>
          <w:p w14:paraId="70970BF4">
            <w:pPr>
              <w:numPr>
                <w:ilvl w:val="0"/>
                <w:numId w:val="1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Картограмма земляных масс (М 1:500), разрезы; </w:t>
            </w:r>
          </w:p>
          <w:p w14:paraId="453A9F6E">
            <w:pPr>
              <w:numPr>
                <w:ilvl w:val="0"/>
                <w:numId w:val="1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Сводная схема существующих и проектируемых инженерных сетей с указанием точек подключения к существующим коммуникациям. </w:t>
            </w:r>
          </w:p>
          <w:p w14:paraId="68B4FF3B">
            <w:pPr>
              <w:pStyle w:val="4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1.2. Проект благоустройства территории</w:t>
            </w:r>
          </w:p>
          <w:p w14:paraId="04AD73CC">
            <w:pPr>
              <w:numPr>
                <w:ilvl w:val="0"/>
                <w:numId w:val="12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Чертежи открытого спортивного поля, беговой дорожки и ограждения, узлы и спецификации применяемых материалов; </w:t>
            </w:r>
          </w:p>
          <w:p w14:paraId="27E48441">
            <w:pPr>
              <w:numPr>
                <w:ilvl w:val="0"/>
                <w:numId w:val="12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Чертежи дорожных покрытий, пешеходных дорожек, пандусов, лестниц и подпорных стен (при необходимости), узлы и спецификации материалов; </w:t>
            </w:r>
          </w:p>
          <w:p w14:paraId="6A8EA513">
            <w:pPr>
              <w:numPr>
                <w:ilvl w:val="0"/>
                <w:numId w:val="12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Архитектурные и конструктивные решения малых архитектурных форм, скамеек, навесов, урн и элементов наружного освещения, узлы и спецификации; </w:t>
            </w:r>
          </w:p>
          <w:p w14:paraId="256FC93D">
            <w:pPr>
              <w:numPr>
                <w:ilvl w:val="0"/>
                <w:numId w:val="12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Решения по озеленению и спецификации проектируемых растений. </w:t>
            </w:r>
          </w:p>
          <w:p w14:paraId="194292CB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>
                <v:rect id="_x0000_i1028" o:spt="1" style="height:1.5pt;width:0pt;" fillcolor="#A0A0A0" filled="t" stroked="f" coordsize="21600,21600" o:hr="t" o:hrstd="t" o:hralign="center">
                  <v:path/>
                  <v:fill on="t" focussize="0,0"/>
                  <v:stroke on="f"/>
                  <v:imagedata o:title=""/>
                  <o:lock v:ext="edit"/>
                  <w10:wrap type="none"/>
                  <w10:anchorlock/>
                </v:rect>
              </w:pict>
            </w:r>
          </w:p>
          <w:p w14:paraId="2248113F">
            <w:pPr>
              <w:pStyle w:val="2"/>
              <w:spacing w:before="0" w:beforeAutospacing="0" w:after="0" w:afterAutospacing="0"/>
              <w:outlineLvl w:val="0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Том 2. «Архитектурная часть и технология»</w:t>
            </w:r>
          </w:p>
          <w:p w14:paraId="4992B158">
            <w:pPr>
              <w:pStyle w:val="4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2.1. Архитектурная часть</w:t>
            </w:r>
          </w:p>
          <w:p w14:paraId="17FC6460">
            <w:pPr>
              <w:numPr>
                <w:ilvl w:val="0"/>
                <w:numId w:val="13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Планы этажей, подвала и кровли, разрезы, фасады, узлы и спецификации; </w:t>
            </w:r>
          </w:p>
          <w:p w14:paraId="7CC4D2D4">
            <w:pPr>
              <w:numPr>
                <w:ilvl w:val="0"/>
                <w:numId w:val="13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Детальные чертежи дверей, окон, витражей, противопожарных дверей, полов, козырьков, ограждений и поручней (внешний вид, разрезы, узлы крепления и т.д.) с указанием применяемых материалов, типов и толщины стекла, спецификации; </w:t>
            </w:r>
          </w:p>
          <w:p w14:paraId="5FD7CABF">
            <w:pPr>
              <w:numPr>
                <w:ilvl w:val="0"/>
                <w:numId w:val="13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Мероприятия по обеспечению доступности для лиц с инвалидностью (адаптированные внутренние и наружные пространства, пандусы, лифт, направляющая тактильная плитка, разметка, специальное оборудование в санузлах, выделенные места в зале и др.). </w:t>
            </w:r>
          </w:p>
          <w:p w14:paraId="6CC2A038">
            <w:pPr>
              <w:pStyle w:val="11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Указанные решения представляются отдельными чертежными листами с подробным указанием:</w:t>
            </w:r>
          </w:p>
          <w:p w14:paraId="524F91B8">
            <w:pPr>
              <w:numPr>
                <w:ilvl w:val="0"/>
                <w:numId w:val="14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всех размеров; </w:t>
            </w:r>
          </w:p>
          <w:p w14:paraId="52F6121C">
            <w:pPr>
              <w:numPr>
                <w:ilvl w:val="0"/>
                <w:numId w:val="14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внешнего вида материалов и оборудования; </w:t>
            </w:r>
          </w:p>
          <w:p w14:paraId="217C915F">
            <w:pPr>
              <w:numPr>
                <w:ilvl w:val="0"/>
                <w:numId w:val="14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спецификаций; </w:t>
            </w:r>
          </w:p>
          <w:p w14:paraId="250BDEBC">
            <w:pPr>
              <w:numPr>
                <w:ilvl w:val="0"/>
                <w:numId w:val="14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поясняющих схем монтажа оборудования; </w:t>
            </w:r>
          </w:p>
          <w:p w14:paraId="4BE37EA1">
            <w:pPr>
              <w:numPr>
                <w:ilvl w:val="0"/>
                <w:numId w:val="14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подробных инструкций по установке. </w:t>
            </w:r>
          </w:p>
          <w:p w14:paraId="54B79F8A">
            <w:pPr>
              <w:pStyle w:val="4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2.2. Технологическая часть</w:t>
            </w:r>
          </w:p>
          <w:p w14:paraId="41912E4C">
            <w:pPr>
              <w:numPr>
                <w:ilvl w:val="0"/>
                <w:numId w:val="15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Планы с расстановкой мебели и оборудования; </w:t>
            </w:r>
          </w:p>
          <w:p w14:paraId="40F44DA5">
            <w:pPr>
              <w:numPr>
                <w:ilvl w:val="0"/>
                <w:numId w:val="15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Схемы; </w:t>
            </w:r>
          </w:p>
          <w:p w14:paraId="5D0BFE81">
            <w:pPr>
              <w:numPr>
                <w:ilvl w:val="0"/>
                <w:numId w:val="15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Спецификации; </w:t>
            </w:r>
          </w:p>
          <w:p w14:paraId="6CC50163">
            <w:pPr>
              <w:numPr>
                <w:ilvl w:val="0"/>
                <w:numId w:val="15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Иные необходимые материалы. </w:t>
            </w:r>
          </w:p>
          <w:p w14:paraId="419FECB9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>
                <v:rect id="_x0000_i1029" o:spt="1" style="height:1.5pt;width:0pt;" fillcolor="#A0A0A0" filled="t" stroked="f" coordsize="21600,21600" o:hr="t" o:hrstd="t" o:hralign="center">
                  <v:path/>
                  <v:fill on="t" focussize="0,0"/>
                  <v:stroke on="f"/>
                  <v:imagedata o:title=""/>
                  <o:lock v:ext="edit"/>
                  <w10:wrap type="none"/>
                  <w10:anchorlock/>
                </v:rect>
              </w:pict>
            </w:r>
          </w:p>
          <w:p w14:paraId="1277DE0D">
            <w:pPr>
              <w:pStyle w:val="2"/>
              <w:spacing w:before="0" w:beforeAutospacing="0" w:after="0" w:afterAutospacing="0"/>
              <w:outlineLvl w:val="0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Том 3. «Конструктивная часть»</w:t>
            </w:r>
          </w:p>
          <w:p w14:paraId="5D9F3BA2">
            <w:pPr>
              <w:pStyle w:val="4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3.1. </w:t>
            </w:r>
            <w:r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Чертежи конструктивных элементов ниже отметки 0.000.</w:t>
            </w:r>
          </w:p>
          <w:p w14:paraId="3FFEFE37">
            <w:pPr>
              <w:pStyle w:val="4"/>
              <w:spacing w:before="0" w:beforeAutospacing="0" w:after="0" w:afterAutospacing="0"/>
              <w:outlineLvl w:val="2"/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3.2. </w:t>
            </w:r>
            <w:r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Чертежи конструктивных элементов выше отметки 0.000.</w:t>
            </w:r>
          </w:p>
          <w:p w14:paraId="38B2837D">
            <w:pPr>
              <w:pStyle w:val="4"/>
              <w:spacing w:before="0" w:beforeAutospacing="0" w:after="0" w:afterAutospacing="0"/>
              <w:outlineLvl w:val="2"/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3.3. </w:t>
            </w:r>
            <w:r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 xml:space="preserve">Исходный файл расчёта, выполненного в программе </w:t>
            </w:r>
            <w:r>
              <w:rPr>
                <w:rFonts w:ascii="GHEA Grapalat" w:hAnsi="GHEA Grapalat"/>
                <w:b w:val="0"/>
                <w:sz w:val="20"/>
                <w:szCs w:val="20"/>
              </w:rPr>
              <w:t>LIRA</w:t>
            </w:r>
            <w:r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, и расчётный отчёт.</w:t>
            </w:r>
          </w:p>
          <w:p w14:paraId="6E790C3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>
                <v:rect id="_x0000_i1030" o:spt="1" style="height:1.5pt;width:0pt;" fillcolor="#A0A0A0" filled="t" stroked="f" coordsize="21600,21600" o:hr="t" o:hrstd="t" o:hralign="center">
                  <v:path/>
                  <v:fill on="t" focussize="0,0"/>
                  <v:stroke on="f"/>
                  <v:imagedata o:title=""/>
                  <o:lock v:ext="edit"/>
                  <w10:wrap type="none"/>
                  <w10:anchorlock/>
                </v:rect>
              </w:pict>
            </w:r>
          </w:p>
          <w:p w14:paraId="16CBE0F4">
            <w:pPr>
              <w:pStyle w:val="2"/>
              <w:spacing w:before="0" w:beforeAutospacing="0" w:after="0" w:afterAutospacing="0"/>
              <w:outlineLvl w:val="0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Том 4. «Инженерные сети»</w:t>
            </w:r>
          </w:p>
          <w:p w14:paraId="34CE1105">
            <w:pPr>
              <w:pStyle w:val="4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4.1. Электротехническая часть</w:t>
            </w:r>
          </w:p>
          <w:p w14:paraId="1A69C47D">
            <w:pPr>
              <w:pStyle w:val="5"/>
              <w:spacing w:before="0" w:line="240" w:lineRule="auto"/>
              <w:outlineLvl w:val="3"/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4.1.1. </w:t>
            </w:r>
            <w:r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Электроснабжение: наружные и внутренние сети.</w:t>
            </w:r>
          </w:p>
          <w:p w14:paraId="5238CC9A">
            <w:pPr>
              <w:pStyle w:val="5"/>
              <w:spacing w:before="0" w:line="240" w:lineRule="auto"/>
              <w:outlineLvl w:val="3"/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4.1.2. </w:t>
            </w:r>
            <w:r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Электроосвещение: наружные и внутренние сети.</w:t>
            </w:r>
          </w:p>
          <w:p w14:paraId="57AF7A49">
            <w:pPr>
              <w:pStyle w:val="5"/>
              <w:spacing w:before="0" w:line="240" w:lineRule="auto"/>
              <w:outlineLvl w:val="3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4.1.3. </w:t>
            </w:r>
            <w:r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Фотоэлектрическая (солнечная) станция.</w:t>
            </w:r>
          </w:p>
          <w:p w14:paraId="078AA588">
            <w:pPr>
              <w:pStyle w:val="4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4.2. Водоснабжение и канализация</w:t>
            </w:r>
          </w:p>
          <w:p w14:paraId="78E662EA">
            <w:pPr>
              <w:pStyle w:val="5"/>
              <w:spacing w:before="0" w:line="240" w:lineRule="auto"/>
              <w:outlineLvl w:val="3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4.2.1.</w:t>
            </w:r>
            <w:r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Водоснабжение: наружные и внутренние сети.</w:t>
            </w:r>
          </w:p>
          <w:p w14:paraId="7E344B2C">
            <w:pPr>
              <w:pStyle w:val="5"/>
              <w:spacing w:before="0" w:line="240" w:lineRule="auto"/>
              <w:outlineLvl w:val="3"/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4.2.2. </w:t>
            </w:r>
            <w:r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Канализация: наружные и внутренние сети.</w:t>
            </w:r>
          </w:p>
          <w:p w14:paraId="5F30D211">
            <w:pPr>
              <w:pStyle w:val="4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4.3. Отопление и вентиляция</w:t>
            </w:r>
          </w:p>
          <w:p w14:paraId="447CDB2F">
            <w:pPr>
              <w:pStyle w:val="5"/>
              <w:spacing w:before="0" w:line="240" w:lineRule="auto"/>
              <w:outlineLvl w:val="3"/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4.3.1. </w:t>
            </w:r>
            <w:r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Наружные и внутренние сети теплоснабжения, котельная.</w:t>
            </w:r>
          </w:p>
          <w:p w14:paraId="5810E8BD">
            <w:pPr>
              <w:pStyle w:val="5"/>
              <w:spacing w:before="0" w:line="240" w:lineRule="auto"/>
              <w:outlineLvl w:val="3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4.3.2. </w:t>
            </w:r>
            <w:r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Система вентиляции.</w:t>
            </w:r>
          </w:p>
          <w:p w14:paraId="7D656E33">
            <w:pPr>
              <w:pStyle w:val="4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4.4. Слаботочные сети</w:t>
            </w:r>
          </w:p>
          <w:p w14:paraId="3CB64CE3">
            <w:pPr>
              <w:pStyle w:val="5"/>
              <w:spacing w:before="0" w:line="240" w:lineRule="auto"/>
              <w:outlineLvl w:val="3"/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4.4.1. </w:t>
            </w:r>
            <w:r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Система пожарной сигнализации.</w:t>
            </w:r>
          </w:p>
          <w:p w14:paraId="0F5F9CF0">
            <w:pPr>
              <w:pStyle w:val="5"/>
              <w:spacing w:before="0" w:line="240" w:lineRule="auto"/>
              <w:outlineLvl w:val="3"/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4.4.2. </w:t>
            </w:r>
            <w:r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Система видеонаблюдения территории.</w:t>
            </w:r>
          </w:p>
          <w:p w14:paraId="24A11D37">
            <w:pPr>
              <w:pStyle w:val="5"/>
              <w:spacing w:before="0" w:line="240" w:lineRule="auto"/>
              <w:outlineLvl w:val="3"/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4.4.3. </w:t>
            </w:r>
            <w:r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Система звонковой и часовой сигнализации.</w:t>
            </w:r>
          </w:p>
          <w:p w14:paraId="226C76C7">
            <w:pPr>
              <w:pStyle w:val="5"/>
              <w:spacing w:before="0" w:line="240" w:lineRule="auto"/>
              <w:outlineLvl w:val="3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4.4.4.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/>
                <w:b w:val="0"/>
                <w:color w:val="auto"/>
                <w:sz w:val="20"/>
                <w:szCs w:val="20"/>
              </w:rPr>
              <w:t>Компьютерная сеть.</w:t>
            </w:r>
          </w:p>
          <w:p w14:paraId="57B2C2B4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>
                <v:rect id="_x0000_i1031" o:spt="1" style="height:1.5pt;width:0pt;" fillcolor="#A0A0A0" filled="t" stroked="f" coordsize="21600,21600" o:hr="t" o:hrstd="t" o:hralign="center">
                  <v:path/>
                  <v:fill on="t" focussize="0,0"/>
                  <v:stroke on="f"/>
                  <v:imagedata o:title=""/>
                  <o:lock v:ext="edit"/>
                  <w10:wrap type="none"/>
                  <w10:anchorlock/>
                </v:rect>
              </w:pict>
            </w:r>
          </w:p>
          <w:p w14:paraId="39DC0675">
            <w:pPr>
              <w:pStyle w:val="2"/>
              <w:spacing w:before="0" w:beforeAutospacing="0" w:after="0" w:afterAutospacing="0"/>
              <w:outlineLvl w:val="0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Том 5. «Проект организации строительства»</w:t>
            </w:r>
          </w:p>
          <w:p w14:paraId="35C64DC3">
            <w:pPr>
              <w:pStyle w:val="4"/>
              <w:spacing w:before="0" w:beforeAutospacing="0" w:after="0" w:afterAutospacing="0"/>
              <w:outlineLvl w:val="2"/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5.1. </w:t>
            </w:r>
            <w:r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Проект организации строительства.</w:t>
            </w:r>
          </w:p>
          <w:p w14:paraId="739A4FB7">
            <w:pPr>
              <w:pStyle w:val="4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5.2. </w:t>
            </w:r>
            <w:r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Проект сноса / демонтажа существующих зданий и сооружений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.</w:t>
            </w:r>
          </w:p>
          <w:p w14:paraId="71BCB96D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>
                <v:rect id="_x0000_i1032" o:spt="1" style="height:1.5pt;width:0pt;" fillcolor="#A0A0A0" filled="t" stroked="f" coordsize="21600,21600" o:hr="t" o:hrstd="t" o:hralign="center">
                  <v:path/>
                  <v:fill on="t" focussize="0,0"/>
                  <v:stroke on="f"/>
                  <v:imagedata o:title=""/>
                  <o:lock v:ext="edit"/>
                  <w10:wrap type="none"/>
                  <w10:anchorlock/>
                </v:rect>
              </w:pict>
            </w:r>
          </w:p>
          <w:p w14:paraId="6F85A4FB">
            <w:pPr>
              <w:pStyle w:val="2"/>
              <w:spacing w:before="0" w:beforeAutospacing="0" w:after="0" w:afterAutospacing="0"/>
              <w:outlineLvl w:val="0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Том 6. «Сметная документация»</w:t>
            </w:r>
          </w:p>
          <w:p w14:paraId="4223DA60">
            <w:pPr>
              <w:pStyle w:val="4"/>
              <w:spacing w:before="0" w:beforeAutospacing="0" w:after="0" w:afterAutospacing="0"/>
              <w:outlineLvl w:val="2"/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6.1. </w:t>
            </w:r>
            <w:r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Ведомость объёмов строительных работ.</w:t>
            </w:r>
          </w:p>
          <w:p w14:paraId="3D59E795">
            <w:pPr>
              <w:pStyle w:val="4"/>
              <w:spacing w:before="0" w:beforeAutospacing="0" w:after="0" w:afterAutospacing="0"/>
              <w:outlineLvl w:val="2"/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6.2. </w:t>
            </w:r>
            <w:r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Смета.</w:t>
            </w:r>
          </w:p>
          <w:p w14:paraId="28F6B38B">
            <w:pPr>
              <w:pStyle w:val="4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6.3. </w:t>
            </w:r>
            <w:r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Ведомость объёмов работ со сметными расчётами, в соответствии с формой, предоставляемой Заказчиком.</w:t>
            </w:r>
          </w:p>
          <w:p w14:paraId="5A2B576C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>
                <v:rect id="_x0000_i1033" o:spt="1" style="height:1.5pt;width:0pt;" fillcolor="#A0A0A0" filled="t" stroked="f" coordsize="21600,21600" o:hr="t" o:hrstd="t" o:hralign="center">
                  <v:path/>
                  <v:fill on="t" focussize="0,0"/>
                  <v:stroke on="f"/>
                  <v:imagedata o:title=""/>
                  <o:lock v:ext="edit"/>
                  <w10:wrap type="none"/>
                  <w10:anchorlock/>
                </v:rect>
              </w:pict>
            </w:r>
          </w:p>
          <w:p w14:paraId="777FDAD7">
            <w:pPr>
              <w:pStyle w:val="2"/>
              <w:spacing w:before="0" w:beforeAutospacing="0" w:after="0" w:afterAutospacing="0"/>
              <w:outlineLvl w:val="0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Том 7. «Экспертизы»</w:t>
            </w:r>
          </w:p>
          <w:p w14:paraId="7010F629">
            <w:pPr>
              <w:pStyle w:val="4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7.1.</w:t>
            </w:r>
          </w:p>
          <w:p w14:paraId="4B726EF3">
            <w:pPr>
              <w:pStyle w:val="11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Заключение экспертизы ОВОС (оценка воздействия на окружающую среду), мероприятия по охране окружающей среды.</w:t>
            </w:r>
          </w:p>
          <w:p w14:paraId="344B28EC">
            <w:pPr>
              <w:pStyle w:val="11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*) В случае если проект подлежит процедуре ОВОС.</w:t>
            </w:r>
          </w:p>
          <w:p w14:paraId="56297AF9">
            <w:pPr>
              <w:pStyle w:val="4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7.2.</w:t>
            </w:r>
          </w:p>
          <w:p w14:paraId="56590DD8">
            <w:pPr>
              <w:pStyle w:val="11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Заключение по технической безопасности (КТХАТМ).</w:t>
            </w:r>
          </w:p>
          <w:p w14:paraId="4F19026F">
            <w:pPr>
              <w:pStyle w:val="11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В том числе:</w:t>
            </w:r>
          </w:p>
          <w:p w14:paraId="02E72B49">
            <w:pPr>
              <w:numPr>
                <w:ilvl w:val="0"/>
                <w:numId w:val="16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по лифтам; </w:t>
            </w:r>
          </w:p>
          <w:p w14:paraId="7DD345FD">
            <w:pPr>
              <w:numPr>
                <w:ilvl w:val="0"/>
                <w:numId w:val="16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по котельной. </w:t>
            </w:r>
          </w:p>
          <w:p w14:paraId="37EDAE8F">
            <w:pPr>
              <w:pStyle w:val="4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7.3.</w:t>
            </w:r>
          </w:p>
          <w:p w14:paraId="4D04DB1D">
            <w:pPr>
              <w:pStyle w:val="11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Согласование с Инспекцией по Градостроительству Пожарной и Технической Безопасности /ИГПТБ/ по вопросам пожарной безопасности.</w:t>
            </w:r>
          </w:p>
          <w:p w14:paraId="267F698E">
            <w:pPr>
              <w:pStyle w:val="11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*) Заключение простой градостроительной экспертизы и заключение государственной комплексной экспертизы получает Заказчик.</w:t>
            </w:r>
          </w:p>
          <w:p w14:paraId="1CB6242E">
            <w:pPr>
              <w:spacing w:after="0" w:line="240" w:lineRule="auto"/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</w:pPr>
          </w:p>
          <w:p w14:paraId="61072EA0">
            <w:pPr>
              <w:spacing w:after="0" w:line="240" w:lineRule="auto"/>
              <w:jc w:val="both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</w:p>
          <w:p w14:paraId="0F286F45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14:paraId="379F1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" w:type="dxa"/>
          </w:tcPr>
          <w:p w14:paraId="219FD182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6</w:t>
            </w:r>
          </w:p>
        </w:tc>
        <w:tc>
          <w:tcPr>
            <w:tcW w:w="2790" w:type="dxa"/>
          </w:tcPr>
          <w:p w14:paraId="3C6DF0F1">
            <w:pPr>
              <w:spacing w:after="0" w:line="240" w:lineRule="auto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Прочие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требования</w:t>
            </w:r>
          </w:p>
        </w:tc>
        <w:tc>
          <w:tcPr>
            <w:tcW w:w="7308" w:type="dxa"/>
          </w:tcPr>
          <w:p w14:paraId="78896D4A">
            <w:pPr>
              <w:pStyle w:val="4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Требования к строительным материалам, изделиям и оборудованию</w:t>
            </w:r>
          </w:p>
          <w:p w14:paraId="7874F9FA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В проекте необходимо предусмотреть подробное и исчерпывающее описание характеристик применяемых строительных материалов, изделий и оборудования (эксплуатационных характеристик) в спецификациях и сметной документации с указанием основных и/или паспортных технических показателей соответствующего изделия, а также наименования производителя и модели (при наличии). </w:t>
            </w:r>
          </w:p>
          <w:p w14:paraId="09D7AFD2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В случае использования ссылок на конкретную продукцию описание характеристик должно содержать слова </w:t>
            </w:r>
            <w:r>
              <w:rPr>
                <w:rStyle w:val="12"/>
                <w:rFonts w:ascii="GHEA Grapalat" w:hAnsi="GHEA Grapalat"/>
                <w:sz w:val="20"/>
                <w:szCs w:val="20"/>
                <w:lang w:val="ru-RU"/>
              </w:rPr>
              <w:t>«или эквивалент»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. </w:t>
            </w:r>
          </w:p>
          <w:p w14:paraId="024B0871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При проектировании систем вентиляции и насосного оборудования необходимо указывать информацию о допустимых отклонениях мощностных характеристик оборудования. </w:t>
            </w:r>
          </w:p>
          <w:p w14:paraId="280742F7">
            <w:pPr>
              <w:numPr>
                <w:ilvl w:val="0"/>
                <w:numId w:val="17"/>
              </w:numPr>
              <w:spacing w:before="100" w:beforeAutospacing="1" w:after="100" w:afterAutospacing="1" w:line="276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Срок службы используемых материалов, устройств и оборудования /сводный список/,</w:t>
            </w:r>
          </w:p>
          <w:p w14:paraId="51C356DE">
            <w:pPr>
              <w:numPr>
                <w:ilvl w:val="0"/>
                <w:numId w:val="17"/>
              </w:numPr>
              <w:spacing w:before="100" w:beforeAutospacing="1" w:after="100" w:afterAutospacing="1" w:line="276" w:lineRule="auto"/>
              <w:rPr>
                <w:rFonts w:ascii="GHEA Grapalat" w:hAnsi="GHEA Grapalat"/>
                <w:color w:val="FF0000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Гарантийные сроки на устройства и оборудование /сводный список/</w:t>
            </w:r>
          </w:p>
          <w:p w14:paraId="394A8D77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>
                <v:rect id="_x0000_i1034" o:spt="1" style="height:1.5pt;width:0pt;" fillcolor="#A0A0A0" filled="t" stroked="f" coordsize="21600,21600" o:hr="t" o:hrstd="t" o:hralign="center">
                  <v:path/>
                  <v:fill on="t" focussize="0,0"/>
                  <v:stroke on="f"/>
                  <v:imagedata o:title=""/>
                  <o:lock v:ext="edit"/>
                  <w10:wrap type="none"/>
                  <w10:anchorlock/>
                </v:rect>
              </w:pict>
            </w:r>
          </w:p>
          <w:p w14:paraId="73909E38">
            <w:pPr>
              <w:pStyle w:val="3"/>
              <w:spacing w:line="240" w:lineRule="auto"/>
              <w:outlineLvl w:val="1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Срок выполнения проектных работ</w:t>
            </w:r>
          </w:p>
          <w:p w14:paraId="7469CAC5">
            <w:p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Срок сдачи проектно-сметной документации составляет 150 календарных дней со дня вступления в силу договора (соглашения) и </w:t>
            </w:r>
            <w:r>
              <w:rPr>
                <w:rFonts w:ascii="GHEA Grapalat" w:hAnsi="GHEA Grapalat" w:eastAsia="Times New Roman" w:cs="Times New Roman"/>
                <w:b/>
                <w:sz w:val="20"/>
                <w:szCs w:val="20"/>
                <w:lang w:val="ru-RU"/>
              </w:rPr>
              <w:t>180 календарных</w:t>
            </w: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 дней включая получения разрешений и заключения экспертной комиссии</w:t>
            </w:r>
            <w:r>
              <w:rPr>
                <w:rFonts w:ascii="GHEA Grapalat" w:hAnsi="GHEA Grapalat" w:eastAsia="Times New Roman" w:cs="Times New Roman"/>
                <w:b/>
                <w:sz w:val="20"/>
                <w:szCs w:val="20"/>
                <w:lang w:val="ru-RU"/>
              </w:rPr>
              <w:t>.</w:t>
            </w:r>
          </w:p>
          <w:p w14:paraId="28F166AD">
            <w:p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>Окончательный пакет документов, представленный Заказчику после проверки отделом планирования и надзора ATDF, будет направлен ATDF в комиссию по планированию и надзору, а после получения положительного заключения — в государственную комплексную комиссию.</w:t>
            </w:r>
          </w:p>
          <w:p w14:paraId="7532D9C9">
            <w:p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b/>
                <w:sz w:val="20"/>
                <w:szCs w:val="20"/>
                <w:lang w:val="ru-RU"/>
              </w:rPr>
              <w:t>Доработка проекта</w:t>
            </w:r>
          </w:p>
          <w:p w14:paraId="6A353F0C">
            <w:pPr>
              <w:pStyle w:val="11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В случае необходимости, если в ходе координации проекта (в том числе с Заказчиком) комиссия по планированию и/или государственная комплексная комиссия вынесут отрицательное или положительное заключение с условием дополнительной разработки проекта, Консультант обязан выполнить дополнительную разработку проектно-сметной документации </w:t>
            </w: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без финансового вознаграждения в течение срока, указанного Заказчиком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.</w:t>
            </w:r>
          </w:p>
          <w:p w14:paraId="26EB14C1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>
                <v:rect id="_x0000_i1035" o:spt="1" style="height:1.5pt;width:0pt;" fillcolor="#A0A0A0" filled="t" stroked="f" coordsize="21600,21600" o:hr="t" o:hrstd="t" o:hralign="center">
                  <v:path/>
                  <v:fill on="t" focussize="0,0"/>
                  <v:stroke on="f"/>
                  <v:imagedata o:title=""/>
                  <o:lock v:ext="edit"/>
                  <w10:wrap type="none"/>
                  <w10:anchorlock/>
                </v:rect>
              </w:pict>
            </w:r>
          </w:p>
          <w:p w14:paraId="54B3C4F8">
            <w:pPr>
              <w:pStyle w:val="3"/>
              <w:spacing w:line="240" w:lineRule="auto"/>
              <w:outlineLvl w:val="1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Передача проектно-сметной документации Заказчику</w:t>
            </w:r>
          </w:p>
          <w:p w14:paraId="688074A7">
            <w:pPr>
              <w:pStyle w:val="11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Проектно-сметная документация разрабатывается с использованием соответствующего программного обеспечения (</w:t>
            </w:r>
            <w:r>
              <w:rPr>
                <w:rFonts w:ascii="GHEA Grapalat" w:hAnsi="GHEA Grapalat"/>
                <w:sz w:val="20"/>
                <w:szCs w:val="20"/>
              </w:rPr>
              <w:t>AutoCAD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GHEA Grapalat" w:hAnsi="GHEA Grapalat"/>
                <w:sz w:val="20"/>
                <w:szCs w:val="20"/>
              </w:rPr>
              <w:t>ArchiCAD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GHEA Grapalat" w:hAnsi="GHEA Grapalat"/>
                <w:sz w:val="20"/>
                <w:szCs w:val="20"/>
              </w:rPr>
              <w:t>Excel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GHEA Grapalat" w:hAnsi="GHEA Grapalat"/>
                <w:sz w:val="20"/>
                <w:szCs w:val="20"/>
              </w:rPr>
              <w:t>Word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 и др.).</w:t>
            </w:r>
          </w:p>
          <w:p w14:paraId="1C85D237">
            <w:pPr>
              <w:pStyle w:val="4"/>
              <w:outlineLvl w:val="2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Представление документации на бумажном носителе</w:t>
            </w:r>
          </w:p>
          <w:p w14:paraId="15890BBA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Полный комплект проектной документации (текстовые и графические материалы) — </w:t>
            </w:r>
            <w:r>
              <w:rPr>
                <w:rStyle w:val="12"/>
                <w:rFonts w:ascii="GHEA Grapalat" w:hAnsi="GHEA Grapalat"/>
                <w:sz w:val="20"/>
                <w:szCs w:val="20"/>
                <w:lang w:val="ru-RU"/>
              </w:rPr>
              <w:t>4 экземпляра на бумажном носителе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. </w:t>
            </w:r>
          </w:p>
          <w:p w14:paraId="2B5DC05E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Полный комплект сметной документации и ведомостей объёмов работ со сметами (ценовое предложение с единичными расценками и удельными весами) — </w:t>
            </w:r>
            <w:r>
              <w:rPr>
                <w:rStyle w:val="12"/>
                <w:rFonts w:ascii="GHEA Grapalat" w:hAnsi="GHEA Grapalat"/>
                <w:sz w:val="20"/>
                <w:szCs w:val="20"/>
                <w:lang w:val="ru-RU"/>
              </w:rPr>
              <w:t>по 2 экземпляра на бумажном носителе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. </w:t>
            </w:r>
          </w:p>
          <w:p w14:paraId="51C73078">
            <w:pPr>
              <w:pStyle w:val="4"/>
              <w:outlineLvl w:val="2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Представление документации в электронном виде</w:t>
            </w:r>
          </w:p>
          <w:p w14:paraId="45429936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Полный комплект проектно-сметной документации — </w:t>
            </w:r>
            <w:r>
              <w:rPr>
                <w:rStyle w:val="12"/>
                <w:rFonts w:ascii="GHEA Grapalat" w:hAnsi="GHEA Grapalat"/>
                <w:sz w:val="20"/>
                <w:szCs w:val="20"/>
                <w:lang w:val="ru-RU"/>
              </w:rPr>
              <w:t>1 экземпляр на электронном носителе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, включая: </w:t>
            </w:r>
          </w:p>
          <w:p w14:paraId="6CF9AB92">
            <w:pPr>
              <w:numPr>
                <w:ilvl w:val="1"/>
                <w:numId w:val="19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текстовые и графические материалы — в форматах </w:t>
            </w:r>
            <w:r>
              <w:rPr>
                <w:rStyle w:val="12"/>
                <w:rFonts w:ascii="GHEA Grapalat" w:hAnsi="GHEA Grapalat"/>
                <w:sz w:val="20"/>
                <w:szCs w:val="20"/>
              </w:rPr>
              <w:t>Word</w:t>
            </w:r>
            <w:r>
              <w:rPr>
                <w:rStyle w:val="12"/>
                <w:rFonts w:ascii="GHEA Grapalat" w:hAnsi="GHEA Grapalat"/>
                <w:sz w:val="20"/>
                <w:szCs w:val="20"/>
                <w:lang w:val="ru-RU"/>
              </w:rPr>
              <w:t xml:space="preserve">, </w:t>
            </w:r>
            <w:r>
              <w:rPr>
                <w:rStyle w:val="12"/>
                <w:rFonts w:ascii="GHEA Grapalat" w:hAnsi="GHEA Grapalat"/>
                <w:sz w:val="20"/>
                <w:szCs w:val="20"/>
              </w:rPr>
              <w:t>AutoCAD</w:t>
            </w:r>
            <w:r>
              <w:rPr>
                <w:rStyle w:val="12"/>
                <w:rFonts w:ascii="GHEA Grapalat" w:hAnsi="GHEA Grapalat"/>
                <w:sz w:val="20"/>
                <w:szCs w:val="20"/>
                <w:lang w:val="ru-RU"/>
              </w:rPr>
              <w:t xml:space="preserve"> и </w:t>
            </w:r>
            <w:r>
              <w:rPr>
                <w:rStyle w:val="12"/>
                <w:rFonts w:ascii="GHEA Grapalat" w:hAnsi="GHEA Grapalat"/>
                <w:sz w:val="20"/>
                <w:szCs w:val="20"/>
              </w:rPr>
              <w:t>PDF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; </w:t>
            </w:r>
          </w:p>
          <w:p w14:paraId="047CB485">
            <w:pPr>
              <w:numPr>
                <w:ilvl w:val="1"/>
                <w:numId w:val="19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сметную документацию и ведомости объёмов работ — в форматах </w:t>
            </w:r>
            <w:r>
              <w:rPr>
                <w:rStyle w:val="12"/>
                <w:rFonts w:ascii="GHEA Grapalat" w:hAnsi="GHEA Grapalat"/>
                <w:sz w:val="20"/>
                <w:szCs w:val="20"/>
              </w:rPr>
              <w:t>Excel</w:t>
            </w:r>
            <w:r>
              <w:rPr>
                <w:rStyle w:val="12"/>
                <w:rFonts w:ascii="GHEA Grapalat" w:hAnsi="GHEA Grapalat"/>
                <w:sz w:val="20"/>
                <w:szCs w:val="20"/>
                <w:lang w:val="ru-RU"/>
              </w:rPr>
              <w:t xml:space="preserve"> и </w:t>
            </w:r>
            <w:r>
              <w:rPr>
                <w:rStyle w:val="12"/>
                <w:rFonts w:ascii="GHEA Grapalat" w:hAnsi="GHEA Grapalat"/>
                <w:sz w:val="20"/>
                <w:szCs w:val="20"/>
              </w:rPr>
              <w:t>PDF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; </w:t>
            </w:r>
          </w:p>
          <w:p w14:paraId="529A17D6">
            <w:pPr>
              <w:numPr>
                <w:ilvl w:val="1"/>
                <w:numId w:val="19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расчёт конструктивной системы — в формате программы </w:t>
            </w:r>
            <w:r>
              <w:rPr>
                <w:rStyle w:val="12"/>
                <w:rFonts w:ascii="GHEA Grapalat" w:hAnsi="GHEA Grapalat"/>
                <w:sz w:val="20"/>
                <w:szCs w:val="20"/>
              </w:rPr>
              <w:t>LIRA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. </w:t>
            </w:r>
          </w:p>
          <w:p w14:paraId="2E1E4916">
            <w:pPr>
              <w:pStyle w:val="11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* Файлы, размещаемые на электронном носителе, должны иметь наименования, соответствующие их содержанию, и не содержать посторонней информации.</w:t>
            </w:r>
          </w:p>
          <w:p w14:paraId="41171C1A">
            <w:pPr>
              <w:pStyle w:val="4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Важное требование</w:t>
            </w:r>
          </w:p>
          <w:p w14:paraId="757BA227">
            <w:pPr>
              <w:pStyle w:val="11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❗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>
              <w:rPr>
                <w:rStyle w:val="12"/>
                <w:rFonts w:ascii="GHEA Grapalat" w:hAnsi="GHEA Grapalat" w:eastAsiaTheme="minorEastAsia"/>
                <w:sz w:val="20"/>
                <w:szCs w:val="20"/>
                <w:lang w:val="ru-RU"/>
              </w:rPr>
              <w:t>Все материалы должны быть представлены в двух языковых версиях — на армянском и русском языках.</w:t>
            </w:r>
          </w:p>
          <w:p w14:paraId="203B5ACB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14:paraId="0E213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" w:type="dxa"/>
          </w:tcPr>
          <w:p w14:paraId="07D3BF96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7</w:t>
            </w:r>
          </w:p>
        </w:tc>
        <w:tc>
          <w:tcPr>
            <w:tcW w:w="2790" w:type="dxa"/>
          </w:tcPr>
          <w:p w14:paraId="135969FD">
            <w:pPr>
              <w:spacing w:after="0" w:line="240" w:lineRule="auto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Порядок принятия работы консультанта</w:t>
            </w:r>
          </w:p>
        </w:tc>
        <w:tc>
          <w:tcPr>
            <w:tcW w:w="7308" w:type="dxa"/>
          </w:tcPr>
          <w:p w14:paraId="214D4C30">
            <w:pPr>
              <w:spacing w:after="0" w:line="240" w:lineRule="auto"/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Окончательное принятие проекта Заказчиком и оформление акта приёмки-передачи выполняется после получения положительного заключения государственной комплексной экспертизы градостроительной документации по проекту.</w:t>
            </w:r>
          </w:p>
        </w:tc>
      </w:tr>
    </w:tbl>
    <w:p w14:paraId="564C7786">
      <w:pPr>
        <w:spacing w:line="240" w:lineRule="auto"/>
        <w:rPr>
          <w:rFonts w:ascii="GHEA Grapalat" w:hAnsi="GHEA Grapalat"/>
          <w:sz w:val="20"/>
          <w:szCs w:val="20"/>
          <w:lang w:val="hy-AM"/>
        </w:rPr>
      </w:pPr>
    </w:p>
    <w:p w14:paraId="7857ADED">
      <w:pPr>
        <w:spacing w:line="240" w:lineRule="auto"/>
        <w:rPr>
          <w:rFonts w:ascii="GHEA Grapalat" w:hAnsi="GHEA Grapalat"/>
          <w:sz w:val="20"/>
          <w:szCs w:val="20"/>
          <w:lang w:val="hy-AM"/>
        </w:rPr>
      </w:pPr>
    </w:p>
    <w:p w14:paraId="553699FF">
      <w:pPr>
        <w:rPr>
          <w:rFonts w:ascii="GHEA Grapalat" w:hAnsi="GHEA Grapalat"/>
          <w:sz w:val="20"/>
          <w:szCs w:val="20"/>
          <w:lang w:val="hy-AM"/>
        </w:rPr>
      </w:pPr>
    </w:p>
    <w:sectPr>
      <w:pgSz w:w="12240" w:h="15840"/>
      <w:pgMar w:top="900" w:right="810" w:bottom="540" w:left="108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LatArm"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Baltica">
    <w:panose1 w:val="00000000000000000000"/>
    <w:charset w:val="00"/>
    <w:family w:val="swiss"/>
    <w:pitch w:val="default"/>
    <w:sig w:usb0="00000000" w:usb1="00000000" w:usb2="00000000" w:usb3="00000000" w:csb0="00000000" w:csb1="00000000"/>
  </w:font>
  <w:font w:name="GHEAGrapalat">
    <w:altName w:val="Dark Courier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GHEA Grapalat">
    <w:panose1 w:val="02000506050000020003"/>
    <w:charset w:val="00"/>
    <w:family w:val="modern"/>
    <w:pitch w:val="default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default"/>
    <w:sig w:usb0="04000687" w:usb1="00000000" w:usb2="00000000" w:usb3="00000000" w:csb0="2000009F" w:csb1="00000000"/>
  </w:font>
  <w:font w:name="Times Armenian">
    <w:panose1 w:val="02020603050405020304"/>
    <w:charset w:val="00"/>
    <w:family w:val="roman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F42490"/>
    <w:multiLevelType w:val="multilevel"/>
    <w:tmpl w:val="01F42490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>
    <w:nsid w:val="03CD0FA8"/>
    <w:multiLevelType w:val="multilevel"/>
    <w:tmpl w:val="03CD0FA8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>
    <w:nsid w:val="07173518"/>
    <w:multiLevelType w:val="multilevel"/>
    <w:tmpl w:val="07173518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>
    <w:nsid w:val="0956477B"/>
    <w:multiLevelType w:val="multilevel"/>
    <w:tmpl w:val="0956477B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>
    <w:nsid w:val="16323932"/>
    <w:multiLevelType w:val="multilevel"/>
    <w:tmpl w:val="16323932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>
    <w:nsid w:val="1B3168B1"/>
    <w:multiLevelType w:val="multilevel"/>
    <w:tmpl w:val="1B3168B1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>
    <w:nsid w:val="295D1257"/>
    <w:multiLevelType w:val="multilevel"/>
    <w:tmpl w:val="295D1257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>
    <w:nsid w:val="2AA64F79"/>
    <w:multiLevelType w:val="multilevel"/>
    <w:tmpl w:val="2AA64F79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>
    <w:nsid w:val="34A54FE4"/>
    <w:multiLevelType w:val="multilevel"/>
    <w:tmpl w:val="34A54FE4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9">
    <w:nsid w:val="39830A54"/>
    <w:multiLevelType w:val="multilevel"/>
    <w:tmpl w:val="39830A54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0">
    <w:nsid w:val="40FB1ECB"/>
    <w:multiLevelType w:val="multilevel"/>
    <w:tmpl w:val="40FB1ECB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1">
    <w:nsid w:val="455C19E2"/>
    <w:multiLevelType w:val="multilevel"/>
    <w:tmpl w:val="455C19E2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2">
    <w:nsid w:val="47234189"/>
    <w:multiLevelType w:val="multilevel"/>
    <w:tmpl w:val="47234189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3">
    <w:nsid w:val="5427194A"/>
    <w:multiLevelType w:val="multilevel"/>
    <w:tmpl w:val="5427194A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4">
    <w:nsid w:val="54F33031"/>
    <w:multiLevelType w:val="multilevel"/>
    <w:tmpl w:val="54F33031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5">
    <w:nsid w:val="658B5BE5"/>
    <w:multiLevelType w:val="multilevel"/>
    <w:tmpl w:val="658B5BE5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6">
    <w:nsid w:val="6D193308"/>
    <w:multiLevelType w:val="multilevel"/>
    <w:tmpl w:val="6D193308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7">
    <w:nsid w:val="7B084228"/>
    <w:multiLevelType w:val="multilevel"/>
    <w:tmpl w:val="7B084228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8">
    <w:nsid w:val="7E153883"/>
    <w:multiLevelType w:val="multilevel"/>
    <w:tmpl w:val="7E153883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6"/>
  </w:num>
  <w:num w:numId="2">
    <w:abstractNumId w:val="15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8"/>
  </w:num>
  <w:num w:numId="8">
    <w:abstractNumId w:val="12"/>
  </w:num>
  <w:num w:numId="9">
    <w:abstractNumId w:val="13"/>
  </w:num>
  <w:num w:numId="10">
    <w:abstractNumId w:val="1"/>
  </w:num>
  <w:num w:numId="11">
    <w:abstractNumId w:val="7"/>
  </w:num>
  <w:num w:numId="12">
    <w:abstractNumId w:val="10"/>
  </w:num>
  <w:num w:numId="13">
    <w:abstractNumId w:val="18"/>
  </w:num>
  <w:num w:numId="14">
    <w:abstractNumId w:val="9"/>
  </w:num>
  <w:num w:numId="15">
    <w:abstractNumId w:val="14"/>
  </w:num>
  <w:num w:numId="16">
    <w:abstractNumId w:val="16"/>
  </w:num>
  <w:num w:numId="17">
    <w:abstractNumId w:val="11"/>
  </w:num>
  <w:num w:numId="18">
    <w:abstractNumId w:val="0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hideSpellingErrors/>
  <w:hideGrammaticalErrors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136"/>
    <w:rsid w:val="000055E7"/>
    <w:rsid w:val="00015892"/>
    <w:rsid w:val="00026D85"/>
    <w:rsid w:val="000414D3"/>
    <w:rsid w:val="00070403"/>
    <w:rsid w:val="000754A7"/>
    <w:rsid w:val="00081F3A"/>
    <w:rsid w:val="00093C32"/>
    <w:rsid w:val="0009480B"/>
    <w:rsid w:val="000A14E5"/>
    <w:rsid w:val="00117D47"/>
    <w:rsid w:val="001354AE"/>
    <w:rsid w:val="001371B8"/>
    <w:rsid w:val="00153F4D"/>
    <w:rsid w:val="0016099E"/>
    <w:rsid w:val="001731B0"/>
    <w:rsid w:val="00175427"/>
    <w:rsid w:val="001939F8"/>
    <w:rsid w:val="001D15BB"/>
    <w:rsid w:val="001D32D6"/>
    <w:rsid w:val="00215B02"/>
    <w:rsid w:val="00215BB2"/>
    <w:rsid w:val="00232287"/>
    <w:rsid w:val="00241D22"/>
    <w:rsid w:val="00261D66"/>
    <w:rsid w:val="00267E80"/>
    <w:rsid w:val="002939B7"/>
    <w:rsid w:val="002A0FA1"/>
    <w:rsid w:val="002B234C"/>
    <w:rsid w:val="0030180C"/>
    <w:rsid w:val="003523B2"/>
    <w:rsid w:val="00360501"/>
    <w:rsid w:val="00361E60"/>
    <w:rsid w:val="003A1A60"/>
    <w:rsid w:val="003C4E96"/>
    <w:rsid w:val="003C5C67"/>
    <w:rsid w:val="003E5446"/>
    <w:rsid w:val="003F5F44"/>
    <w:rsid w:val="00412B7E"/>
    <w:rsid w:val="00444D52"/>
    <w:rsid w:val="00446609"/>
    <w:rsid w:val="00451554"/>
    <w:rsid w:val="00457FF3"/>
    <w:rsid w:val="00464AD7"/>
    <w:rsid w:val="00467D86"/>
    <w:rsid w:val="004753CE"/>
    <w:rsid w:val="00475A3D"/>
    <w:rsid w:val="00476DDD"/>
    <w:rsid w:val="00494F77"/>
    <w:rsid w:val="004B19E4"/>
    <w:rsid w:val="004D58CB"/>
    <w:rsid w:val="004E08CA"/>
    <w:rsid w:val="00516E32"/>
    <w:rsid w:val="0052147D"/>
    <w:rsid w:val="005237AB"/>
    <w:rsid w:val="005538EB"/>
    <w:rsid w:val="00553ADE"/>
    <w:rsid w:val="00557327"/>
    <w:rsid w:val="00562B53"/>
    <w:rsid w:val="005F05C3"/>
    <w:rsid w:val="005F216E"/>
    <w:rsid w:val="00621946"/>
    <w:rsid w:val="00625E36"/>
    <w:rsid w:val="00664606"/>
    <w:rsid w:val="00664AEF"/>
    <w:rsid w:val="00672238"/>
    <w:rsid w:val="006A2252"/>
    <w:rsid w:val="006A4E18"/>
    <w:rsid w:val="006E5379"/>
    <w:rsid w:val="006F0E54"/>
    <w:rsid w:val="00707D68"/>
    <w:rsid w:val="00715DBD"/>
    <w:rsid w:val="0074499A"/>
    <w:rsid w:val="007472AA"/>
    <w:rsid w:val="00775C06"/>
    <w:rsid w:val="007815A5"/>
    <w:rsid w:val="007A4B1B"/>
    <w:rsid w:val="007A51B8"/>
    <w:rsid w:val="007A5EB3"/>
    <w:rsid w:val="007B4DEE"/>
    <w:rsid w:val="007C06FF"/>
    <w:rsid w:val="007C26C1"/>
    <w:rsid w:val="007C482D"/>
    <w:rsid w:val="007E2FE2"/>
    <w:rsid w:val="008131ED"/>
    <w:rsid w:val="00837DE2"/>
    <w:rsid w:val="00856797"/>
    <w:rsid w:val="00875C10"/>
    <w:rsid w:val="00877BB7"/>
    <w:rsid w:val="00886E65"/>
    <w:rsid w:val="0089709A"/>
    <w:rsid w:val="008C64D6"/>
    <w:rsid w:val="008C6689"/>
    <w:rsid w:val="008D0941"/>
    <w:rsid w:val="008D1EF2"/>
    <w:rsid w:val="008E7AC1"/>
    <w:rsid w:val="00905A10"/>
    <w:rsid w:val="00937BF7"/>
    <w:rsid w:val="00943B8B"/>
    <w:rsid w:val="0095060B"/>
    <w:rsid w:val="00970F1F"/>
    <w:rsid w:val="009732B7"/>
    <w:rsid w:val="00977439"/>
    <w:rsid w:val="00981017"/>
    <w:rsid w:val="00981B0B"/>
    <w:rsid w:val="009858B4"/>
    <w:rsid w:val="009C31B7"/>
    <w:rsid w:val="009C4B69"/>
    <w:rsid w:val="00A314B3"/>
    <w:rsid w:val="00A34E72"/>
    <w:rsid w:val="00A41755"/>
    <w:rsid w:val="00A421EA"/>
    <w:rsid w:val="00A46BA6"/>
    <w:rsid w:val="00A816A6"/>
    <w:rsid w:val="00A847EE"/>
    <w:rsid w:val="00AB6D8F"/>
    <w:rsid w:val="00AD7235"/>
    <w:rsid w:val="00AE58FA"/>
    <w:rsid w:val="00AE726D"/>
    <w:rsid w:val="00B0591D"/>
    <w:rsid w:val="00B060FF"/>
    <w:rsid w:val="00B65AC4"/>
    <w:rsid w:val="00B723B2"/>
    <w:rsid w:val="00B75CC6"/>
    <w:rsid w:val="00B84CBC"/>
    <w:rsid w:val="00BD2136"/>
    <w:rsid w:val="00BD26FD"/>
    <w:rsid w:val="00BD53D6"/>
    <w:rsid w:val="00BD59D0"/>
    <w:rsid w:val="00BE39B2"/>
    <w:rsid w:val="00BE7566"/>
    <w:rsid w:val="00C14FD5"/>
    <w:rsid w:val="00C22EEA"/>
    <w:rsid w:val="00C3535D"/>
    <w:rsid w:val="00C402E9"/>
    <w:rsid w:val="00C51F08"/>
    <w:rsid w:val="00C725DC"/>
    <w:rsid w:val="00C7604E"/>
    <w:rsid w:val="00CA3249"/>
    <w:rsid w:val="00CB0A81"/>
    <w:rsid w:val="00CB0FD9"/>
    <w:rsid w:val="00CB49F4"/>
    <w:rsid w:val="00CB7161"/>
    <w:rsid w:val="00CE368C"/>
    <w:rsid w:val="00CF1EAD"/>
    <w:rsid w:val="00CF461B"/>
    <w:rsid w:val="00D02AB8"/>
    <w:rsid w:val="00D05346"/>
    <w:rsid w:val="00D147C7"/>
    <w:rsid w:val="00D15212"/>
    <w:rsid w:val="00D3270B"/>
    <w:rsid w:val="00D3361F"/>
    <w:rsid w:val="00D44619"/>
    <w:rsid w:val="00D514EF"/>
    <w:rsid w:val="00D5259C"/>
    <w:rsid w:val="00D55C2B"/>
    <w:rsid w:val="00D64D3B"/>
    <w:rsid w:val="00DB3080"/>
    <w:rsid w:val="00DC3C0C"/>
    <w:rsid w:val="00DD70A5"/>
    <w:rsid w:val="00E11B79"/>
    <w:rsid w:val="00E16DD1"/>
    <w:rsid w:val="00E34334"/>
    <w:rsid w:val="00E46B46"/>
    <w:rsid w:val="00E546CA"/>
    <w:rsid w:val="00E67DDA"/>
    <w:rsid w:val="00E713F7"/>
    <w:rsid w:val="00E7459B"/>
    <w:rsid w:val="00EB08C4"/>
    <w:rsid w:val="00EB1973"/>
    <w:rsid w:val="00EC0190"/>
    <w:rsid w:val="00F01A83"/>
    <w:rsid w:val="00F16F4E"/>
    <w:rsid w:val="00F17648"/>
    <w:rsid w:val="00F36058"/>
    <w:rsid w:val="00F56371"/>
    <w:rsid w:val="00F837E8"/>
    <w:rsid w:val="00F927D6"/>
    <w:rsid w:val="00FA0DBA"/>
    <w:rsid w:val="00FA4007"/>
    <w:rsid w:val="00FB43C4"/>
    <w:rsid w:val="00FC2B36"/>
    <w:rsid w:val="1D0B4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link w:val="21"/>
    <w:qFormat/>
    <w:uiPriority w:val="9"/>
    <w:pPr>
      <w:spacing w:before="100" w:beforeAutospacing="1" w:after="100" w:afterAutospacing="1" w:line="240" w:lineRule="auto"/>
      <w:outlineLvl w:val="0"/>
    </w:pPr>
    <w:rPr>
      <w:rFonts w:ascii="Times New Roman" w:hAnsi="Times New Roman" w:eastAsia="Times New Roman" w:cs="Times New Roman"/>
      <w:b/>
      <w:bCs/>
      <w:kern w:val="36"/>
      <w:sz w:val="48"/>
      <w:szCs w:val="48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link w:val="23"/>
    <w:qFormat/>
    <w:uiPriority w:val="9"/>
    <w:pPr>
      <w:spacing w:before="100" w:beforeAutospacing="1" w:after="100" w:afterAutospacing="1" w:line="240" w:lineRule="auto"/>
      <w:outlineLvl w:val="2"/>
    </w:pPr>
    <w:rPr>
      <w:rFonts w:ascii="Times New Roman" w:hAnsi="Times New Roman" w:eastAsia="Times New Roman" w:cs="Times New Roman"/>
      <w:b/>
      <w:bCs/>
      <w:sz w:val="27"/>
      <w:szCs w:val="27"/>
    </w:rPr>
  </w:style>
  <w:style w:type="paragraph" w:styleId="5">
    <w:name w:val="heading 4"/>
    <w:basedOn w:val="1"/>
    <w:next w:val="1"/>
    <w:link w:val="24"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Body Text Indent"/>
    <w:basedOn w:val="1"/>
    <w:link w:val="16"/>
    <w:qFormat/>
    <w:uiPriority w:val="0"/>
    <w:pPr>
      <w:spacing w:after="0" w:line="360" w:lineRule="auto"/>
      <w:ind w:firstLine="720"/>
      <w:jc w:val="both"/>
    </w:pPr>
    <w:rPr>
      <w:rFonts w:ascii="Arial LatArm" w:hAnsi="Arial LatArm" w:eastAsia="Times New Roman" w:cs="Times New Roman"/>
      <w:i/>
      <w:sz w:val="20"/>
      <w:szCs w:val="20"/>
      <w:lang w:val="en-AU"/>
    </w:rPr>
  </w:style>
  <w:style w:type="paragraph" w:styleId="9">
    <w:name w:val="Body Text Indent 2"/>
    <w:basedOn w:val="1"/>
    <w:link w:val="17"/>
    <w:qFormat/>
    <w:uiPriority w:val="0"/>
    <w:pPr>
      <w:spacing w:after="0" w:line="360" w:lineRule="auto"/>
      <w:ind w:firstLine="540"/>
      <w:jc w:val="both"/>
    </w:pPr>
    <w:rPr>
      <w:rFonts w:ascii="Baltica" w:hAnsi="Baltica" w:eastAsia="Times New Roman" w:cs="Times New Roman"/>
      <w:sz w:val="20"/>
      <w:szCs w:val="20"/>
      <w:lang w:val="af-ZA"/>
    </w:rPr>
  </w:style>
  <w:style w:type="character" w:styleId="10">
    <w:name w:val="Hyperlink"/>
    <w:qFormat/>
    <w:uiPriority w:val="0"/>
    <w:rPr>
      <w:color w:val="0000FF"/>
      <w:u w:val="single"/>
    </w:rPr>
  </w:style>
  <w:style w:type="paragraph" w:styleId="11">
    <w:name w:val="Normal (Web)"/>
    <w:basedOn w:val="1"/>
    <w:link w:val="18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12">
    <w:name w:val="Strong"/>
    <w:basedOn w:val="6"/>
    <w:qFormat/>
    <w:uiPriority w:val="22"/>
    <w:rPr>
      <w:b/>
      <w:bCs/>
    </w:rPr>
  </w:style>
  <w:style w:type="table" w:styleId="13">
    <w:name w:val="Table Grid"/>
    <w:basedOn w:val="7"/>
    <w:qFormat/>
    <w:uiPriority w:val="9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4">
    <w:name w:val="List Paragraph"/>
    <w:basedOn w:val="1"/>
    <w:link w:val="15"/>
    <w:qFormat/>
    <w:uiPriority w:val="34"/>
    <w:pPr>
      <w:ind w:left="720"/>
      <w:contextualSpacing/>
    </w:pPr>
    <w:rPr>
      <w:rFonts w:eastAsiaTheme="minorEastAsia"/>
    </w:rPr>
  </w:style>
  <w:style w:type="character" w:customStyle="1" w:styleId="15">
    <w:name w:val="List Paragraph Char"/>
    <w:link w:val="14"/>
    <w:qFormat/>
    <w:locked/>
    <w:uiPriority w:val="34"/>
    <w:rPr>
      <w:rFonts w:eastAsiaTheme="minorEastAsia"/>
    </w:rPr>
  </w:style>
  <w:style w:type="character" w:customStyle="1" w:styleId="16">
    <w:name w:val="Body Text Indent Char"/>
    <w:basedOn w:val="6"/>
    <w:link w:val="8"/>
    <w:qFormat/>
    <w:uiPriority w:val="0"/>
    <w:rPr>
      <w:rFonts w:ascii="Arial LatArm" w:hAnsi="Arial LatArm" w:eastAsia="Times New Roman" w:cs="Times New Roman"/>
      <w:i/>
      <w:sz w:val="20"/>
      <w:szCs w:val="20"/>
      <w:lang w:val="en-AU"/>
    </w:rPr>
  </w:style>
  <w:style w:type="character" w:customStyle="1" w:styleId="17">
    <w:name w:val="Body Text Indent 2 Char"/>
    <w:basedOn w:val="6"/>
    <w:link w:val="9"/>
    <w:qFormat/>
    <w:uiPriority w:val="0"/>
    <w:rPr>
      <w:rFonts w:ascii="Baltica" w:hAnsi="Baltica" w:eastAsia="Times New Roman" w:cs="Times New Roman"/>
      <w:sz w:val="20"/>
      <w:szCs w:val="20"/>
      <w:lang w:val="af-ZA"/>
    </w:rPr>
  </w:style>
  <w:style w:type="character" w:customStyle="1" w:styleId="18">
    <w:name w:val="Normal (Web) Char"/>
    <w:link w:val="11"/>
    <w:qFormat/>
    <w:locked/>
    <w:uiPriority w:val="99"/>
    <w:rPr>
      <w:rFonts w:ascii="Times New Roman" w:hAnsi="Times New Roman" w:eastAsia="Times New Roman" w:cs="Times New Roman"/>
      <w:sz w:val="24"/>
      <w:szCs w:val="24"/>
    </w:rPr>
  </w:style>
  <w:style w:type="paragraph" w:styleId="19">
    <w:name w:val="No Spacing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customStyle="1" w:styleId="20">
    <w:name w:val="fontstyle01"/>
    <w:basedOn w:val="6"/>
    <w:qFormat/>
    <w:uiPriority w:val="0"/>
    <w:rPr>
      <w:rFonts w:hint="default" w:ascii="GHEAGrapalat" w:hAnsi="GHEAGrapalat"/>
      <w:color w:val="000000"/>
      <w:sz w:val="20"/>
      <w:szCs w:val="20"/>
    </w:rPr>
  </w:style>
  <w:style w:type="character" w:customStyle="1" w:styleId="21">
    <w:name w:val="Heading 1 Char"/>
    <w:basedOn w:val="6"/>
    <w:link w:val="2"/>
    <w:qFormat/>
    <w:uiPriority w:val="9"/>
    <w:rPr>
      <w:rFonts w:ascii="Times New Roman" w:hAnsi="Times New Roman" w:eastAsia="Times New Roman" w:cs="Times New Roman"/>
      <w:b/>
      <w:bCs/>
      <w:kern w:val="36"/>
      <w:sz w:val="48"/>
      <w:szCs w:val="48"/>
    </w:rPr>
  </w:style>
  <w:style w:type="character" w:customStyle="1" w:styleId="22">
    <w:name w:val="Heading 2 Char"/>
    <w:basedOn w:val="6"/>
    <w:link w:val="3"/>
    <w:semiHidden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23">
    <w:name w:val="Heading 3 Char"/>
    <w:basedOn w:val="6"/>
    <w:link w:val="4"/>
    <w:qFormat/>
    <w:uiPriority w:val="9"/>
    <w:rPr>
      <w:rFonts w:ascii="Times New Roman" w:hAnsi="Times New Roman" w:eastAsia="Times New Roman" w:cs="Times New Roman"/>
      <w:b/>
      <w:bCs/>
      <w:sz w:val="27"/>
      <w:szCs w:val="27"/>
    </w:rPr>
  </w:style>
  <w:style w:type="character" w:customStyle="1" w:styleId="24">
    <w:name w:val="Heading 4 Char"/>
    <w:basedOn w:val="6"/>
    <w:link w:val="5"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25">
    <w:name w:val="whitespace-normal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13</Pages>
  <Words>5934</Words>
  <Characters>45073</Characters>
  <Lines>368</Lines>
  <Paragraphs>103</Paragraphs>
  <TotalTime>1993</TotalTime>
  <ScaleCrop>false</ScaleCrop>
  <LinksUpToDate>false</LinksUpToDate>
  <CharactersWithSpaces>50704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2025-10-31T06:26:00Z</dcterms:created>
  <dc:creator>Anahit Hakhumyan</dc:creator>
  <cp:lastModifiedBy>Anna-Ch</cp:lastModifiedBy>
  <dcterms:modified xsi:type="dcterms:W3CDTF">2026-06-12T14:19:30Z</dcterms:modified>
  <cp:revision>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eyJoZGlkIjoiZWU2OTBjM2ExOGQ1ZDUyN2M0Yjg0OWE5OGNjZGYwYjEifQ==</vt:lpwstr>
  </property>
  <property fmtid="{D5CDD505-2E9C-101B-9397-08002B2CF9AE}" pid="3" name="KSOProductBuildVer">
    <vt:lpwstr>1033-12.1.0.26880</vt:lpwstr>
  </property>
  <property fmtid="{D5CDD505-2E9C-101B-9397-08002B2CF9AE}" pid="4" name="ICV">
    <vt:lpwstr>52EA479B06DE497B84D10F999EDAC09F_12</vt:lpwstr>
  </property>
</Properties>
</file>